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9556" w14:textId="70EABB44" w:rsidR="00E914BA" w:rsidRPr="00027249" w:rsidRDefault="00E914BA" w:rsidP="00E914BA">
      <w:pPr>
        <w:jc w:val="center"/>
        <w:rPr>
          <w:sz w:val="44"/>
        </w:rPr>
      </w:pPr>
    </w:p>
    <w:p w14:paraId="275392CB" w14:textId="77777777" w:rsidR="008E4FBA" w:rsidRPr="00BC63C9" w:rsidRDefault="008E4FBA" w:rsidP="00E914BA">
      <w:pPr>
        <w:jc w:val="center"/>
        <w:rPr>
          <w:sz w:val="16"/>
          <w:szCs w:val="16"/>
        </w:rPr>
      </w:pPr>
      <w:r w:rsidRPr="00027249">
        <w:rPr>
          <w:sz w:val="44"/>
        </w:rPr>
        <w:t xml:space="preserve"> </w:t>
      </w:r>
    </w:p>
    <w:p w14:paraId="55E6A8F0" w14:textId="4CA02B48" w:rsidR="004F2E81" w:rsidRDefault="004F2E81" w:rsidP="008E4FBA">
      <w:pPr>
        <w:jc w:val="center"/>
        <w:rPr>
          <w:sz w:val="44"/>
        </w:rPr>
      </w:pPr>
    </w:p>
    <w:p w14:paraId="0CEBF594" w14:textId="77777777" w:rsidR="004F2E81" w:rsidRDefault="004F2E81" w:rsidP="008E4FBA">
      <w:pPr>
        <w:jc w:val="center"/>
        <w:rPr>
          <w:sz w:val="44"/>
        </w:rPr>
      </w:pPr>
    </w:p>
    <w:p w14:paraId="5338E1F1" w14:textId="6A821D56" w:rsidR="004F2E81" w:rsidRDefault="004F2E81" w:rsidP="008E4FBA">
      <w:pPr>
        <w:jc w:val="center"/>
        <w:rPr>
          <w:sz w:val="44"/>
        </w:rPr>
      </w:pPr>
    </w:p>
    <w:p w14:paraId="4840B6B6" w14:textId="77777777" w:rsidR="004F2E81" w:rsidRDefault="004F2E81" w:rsidP="008E4FBA">
      <w:pPr>
        <w:jc w:val="center"/>
        <w:rPr>
          <w:sz w:val="44"/>
        </w:rPr>
      </w:pPr>
    </w:p>
    <w:p w14:paraId="2A193A3F" w14:textId="77777777" w:rsidR="004F2E81" w:rsidRPr="0051357C" w:rsidRDefault="004F2E81" w:rsidP="004F2E81">
      <w:pPr>
        <w:rPr>
          <w:rFonts w:asciiTheme="majorHAnsi" w:hAnsiTheme="majorHAnsi" w:cstheme="majorHAnsi"/>
          <w:sz w:val="44"/>
        </w:rPr>
      </w:pPr>
    </w:p>
    <w:p w14:paraId="25F54AFC" w14:textId="77777777" w:rsidR="0051357C" w:rsidRPr="0051357C" w:rsidRDefault="00A4643D" w:rsidP="00A116FD">
      <w:pPr>
        <w:jc w:val="center"/>
        <w:rPr>
          <w:rFonts w:asciiTheme="majorHAnsi" w:hAnsiTheme="majorHAnsi" w:cstheme="majorHAnsi"/>
          <w:b/>
          <w:bCs/>
          <w:sz w:val="68"/>
          <w:szCs w:val="68"/>
        </w:rPr>
      </w:pPr>
      <w:r w:rsidRPr="0051357C">
        <w:rPr>
          <w:rFonts w:asciiTheme="majorHAnsi" w:hAnsiTheme="majorHAnsi" w:cstheme="majorHAnsi"/>
          <w:b/>
          <w:bCs/>
          <w:sz w:val="68"/>
          <w:szCs w:val="68"/>
        </w:rPr>
        <w:t>BRINK’S</w:t>
      </w:r>
      <w:r w:rsidR="00D60BF3" w:rsidRPr="0051357C">
        <w:rPr>
          <w:rFonts w:asciiTheme="majorHAnsi" w:hAnsiTheme="majorHAnsi" w:cstheme="majorHAnsi"/>
          <w:b/>
          <w:bCs/>
          <w:sz w:val="68"/>
          <w:szCs w:val="68"/>
        </w:rPr>
        <w:t xml:space="preserve"> </w:t>
      </w:r>
      <w:r w:rsidR="00A116FD" w:rsidRPr="0051357C">
        <w:rPr>
          <w:rFonts w:asciiTheme="majorHAnsi" w:hAnsiTheme="majorHAnsi" w:cstheme="majorHAnsi"/>
          <w:b/>
          <w:bCs/>
          <w:sz w:val="68"/>
          <w:szCs w:val="68"/>
        </w:rPr>
        <w:t xml:space="preserve">GLOBAL </w:t>
      </w:r>
    </w:p>
    <w:p w14:paraId="40BE0718" w14:textId="77777777" w:rsidR="0051357C" w:rsidRPr="0051357C" w:rsidRDefault="008B637B" w:rsidP="00A116FD">
      <w:pPr>
        <w:jc w:val="center"/>
        <w:rPr>
          <w:rFonts w:asciiTheme="majorHAnsi" w:hAnsiTheme="majorHAnsi" w:cstheme="majorHAnsi"/>
          <w:b/>
          <w:bCs/>
          <w:sz w:val="68"/>
          <w:szCs w:val="68"/>
        </w:rPr>
      </w:pPr>
      <w:r w:rsidRPr="0051357C">
        <w:rPr>
          <w:rFonts w:asciiTheme="majorHAnsi" w:hAnsiTheme="majorHAnsi" w:cstheme="majorHAnsi"/>
          <w:b/>
          <w:bCs/>
          <w:sz w:val="68"/>
          <w:szCs w:val="68"/>
        </w:rPr>
        <w:t>CONTINGENT WOR</w:t>
      </w:r>
      <w:r w:rsidR="00981B72" w:rsidRPr="0051357C">
        <w:rPr>
          <w:rFonts w:asciiTheme="majorHAnsi" w:hAnsiTheme="majorHAnsi" w:cstheme="majorHAnsi"/>
          <w:b/>
          <w:bCs/>
          <w:sz w:val="68"/>
          <w:szCs w:val="68"/>
        </w:rPr>
        <w:t xml:space="preserve">KFORCE </w:t>
      </w:r>
    </w:p>
    <w:p w14:paraId="2F8B1E16" w14:textId="71D62E60" w:rsidR="00C87914" w:rsidRPr="0051357C" w:rsidRDefault="00A116FD" w:rsidP="00A116FD">
      <w:pPr>
        <w:jc w:val="center"/>
        <w:rPr>
          <w:rFonts w:asciiTheme="majorHAnsi" w:hAnsiTheme="majorHAnsi" w:cstheme="majorHAnsi"/>
          <w:b/>
          <w:bCs/>
          <w:sz w:val="68"/>
          <w:szCs w:val="68"/>
        </w:rPr>
      </w:pPr>
      <w:r w:rsidRPr="0051357C">
        <w:rPr>
          <w:rFonts w:asciiTheme="majorHAnsi" w:hAnsiTheme="majorHAnsi" w:cstheme="majorHAnsi"/>
          <w:b/>
          <w:bCs/>
          <w:sz w:val="68"/>
          <w:szCs w:val="68"/>
        </w:rPr>
        <w:t>POLICY</w:t>
      </w:r>
    </w:p>
    <w:p w14:paraId="30FD2BD1" w14:textId="77777777" w:rsidR="00D05962" w:rsidRPr="0051357C" w:rsidRDefault="00D05962" w:rsidP="008E4FBA">
      <w:pPr>
        <w:jc w:val="center"/>
        <w:rPr>
          <w:rFonts w:ascii="Arial" w:hAnsi="Arial" w:cs="Arial"/>
          <w:b/>
          <w:bCs/>
          <w:sz w:val="68"/>
          <w:szCs w:val="68"/>
        </w:rPr>
      </w:pPr>
    </w:p>
    <w:p w14:paraId="75AC08D2" w14:textId="77777777" w:rsidR="004F2E81" w:rsidRPr="0051357C" w:rsidRDefault="004F2E81" w:rsidP="008E4FBA">
      <w:pPr>
        <w:jc w:val="center"/>
        <w:rPr>
          <w:rFonts w:ascii="Arial" w:hAnsi="Arial" w:cs="Arial"/>
          <w:b/>
          <w:bCs/>
          <w:sz w:val="44"/>
        </w:rPr>
      </w:pPr>
    </w:p>
    <w:p w14:paraId="63DB44B1" w14:textId="77777777" w:rsidR="004F2E81" w:rsidRDefault="004F2E81" w:rsidP="008E4FBA">
      <w:pPr>
        <w:jc w:val="center"/>
        <w:rPr>
          <w:sz w:val="44"/>
        </w:rPr>
      </w:pPr>
    </w:p>
    <w:p w14:paraId="6DE7236C" w14:textId="77777777" w:rsidR="004F2E81" w:rsidRDefault="004F2E81" w:rsidP="008E4FBA">
      <w:pPr>
        <w:jc w:val="center"/>
        <w:rPr>
          <w:sz w:val="44"/>
        </w:rPr>
      </w:pPr>
    </w:p>
    <w:p w14:paraId="5746E05E" w14:textId="77777777" w:rsidR="004F2E81" w:rsidRDefault="004F2E81" w:rsidP="008E4FBA">
      <w:pPr>
        <w:jc w:val="center"/>
        <w:rPr>
          <w:sz w:val="44"/>
        </w:rPr>
      </w:pPr>
    </w:p>
    <w:p w14:paraId="551A52FC" w14:textId="77777777" w:rsidR="004F2E81" w:rsidRDefault="004F2E81" w:rsidP="008E4FBA">
      <w:pPr>
        <w:jc w:val="center"/>
        <w:rPr>
          <w:sz w:val="44"/>
        </w:rPr>
      </w:pPr>
    </w:p>
    <w:p w14:paraId="6DEE6968" w14:textId="77777777" w:rsidR="004F2E81" w:rsidRDefault="004F2E81" w:rsidP="008E4FBA">
      <w:pPr>
        <w:jc w:val="center"/>
        <w:rPr>
          <w:sz w:val="44"/>
        </w:rPr>
      </w:pPr>
    </w:p>
    <w:p w14:paraId="6E4EAF24" w14:textId="77777777" w:rsidR="004F2E81" w:rsidRDefault="004F2E81" w:rsidP="008E4FBA">
      <w:pPr>
        <w:jc w:val="center"/>
        <w:rPr>
          <w:sz w:val="44"/>
        </w:rPr>
      </w:pPr>
    </w:p>
    <w:p w14:paraId="5BA1FBBA" w14:textId="77777777" w:rsidR="004F2E81" w:rsidRDefault="004F2E81" w:rsidP="008E4FBA">
      <w:pPr>
        <w:jc w:val="center"/>
        <w:rPr>
          <w:sz w:val="44"/>
        </w:rPr>
      </w:pPr>
    </w:p>
    <w:p w14:paraId="52AF8C3F" w14:textId="6F5D71F6" w:rsidR="004F2E81" w:rsidRDefault="004F2E81" w:rsidP="008E4FBA">
      <w:pPr>
        <w:jc w:val="center"/>
        <w:rPr>
          <w:sz w:val="44"/>
        </w:rPr>
      </w:pPr>
    </w:p>
    <w:p w14:paraId="6EE9D896" w14:textId="7E2C98E1" w:rsidR="00F3568E" w:rsidRDefault="00F3568E" w:rsidP="008E4FBA">
      <w:pPr>
        <w:jc w:val="center"/>
        <w:rPr>
          <w:sz w:val="44"/>
        </w:rPr>
      </w:pPr>
    </w:p>
    <w:p w14:paraId="0FF1FDF5" w14:textId="08CA2F5A" w:rsidR="00F3568E" w:rsidRDefault="00F3568E" w:rsidP="3F806670">
      <w:pPr>
        <w:jc w:val="center"/>
        <w:rPr>
          <w:sz w:val="44"/>
          <w:szCs w:val="44"/>
        </w:rPr>
      </w:pPr>
    </w:p>
    <w:p w14:paraId="0ECA548E" w14:textId="77777777" w:rsidR="008E4FBA" w:rsidRPr="00593902" w:rsidRDefault="008E4FBA" w:rsidP="00593902">
      <w:pPr>
        <w:rPr>
          <w:sz w:val="32"/>
          <w:szCs w:val="32"/>
        </w:rPr>
      </w:pPr>
    </w:p>
    <w:p w14:paraId="1414A4C6" w14:textId="77777777" w:rsidR="00D72604" w:rsidRDefault="00D72604" w:rsidP="00593902">
      <w:pPr>
        <w:jc w:val="center"/>
        <w:rPr>
          <w:rFonts w:asciiTheme="majorHAnsi" w:hAnsiTheme="majorHAnsi" w:cstheme="majorHAnsi"/>
          <w:b/>
          <w:bCs/>
          <w:sz w:val="32"/>
          <w:szCs w:val="32"/>
        </w:rPr>
      </w:pPr>
    </w:p>
    <w:p w14:paraId="11E2A833" w14:textId="2FA97C5C" w:rsidR="00337B8A" w:rsidRPr="00593902" w:rsidRDefault="006C11EA" w:rsidP="00593902">
      <w:pPr>
        <w:jc w:val="center"/>
        <w:rPr>
          <w:rFonts w:asciiTheme="majorHAnsi" w:eastAsiaTheme="majorEastAsia" w:hAnsiTheme="majorHAnsi" w:cstheme="majorHAnsi"/>
          <w:b/>
          <w:bCs/>
          <w:color w:val="1F497D" w:themeColor="text2"/>
          <w:sz w:val="32"/>
          <w:szCs w:val="32"/>
        </w:rPr>
      </w:pPr>
      <w:r w:rsidRPr="00593902">
        <w:rPr>
          <w:rFonts w:asciiTheme="majorHAnsi" w:hAnsiTheme="majorHAnsi" w:cstheme="majorHAnsi"/>
          <w:b/>
          <w:bCs/>
          <w:sz w:val="32"/>
          <w:szCs w:val="32"/>
        </w:rPr>
        <w:lastRenderedPageBreak/>
        <w:t>TABLE OF CONTENTS</w:t>
      </w:r>
    </w:p>
    <w:p w14:paraId="7FC0564B" w14:textId="099973CA" w:rsidR="00BF1CD9" w:rsidRDefault="00D91AC2" w:rsidP="00B34602">
      <w:pPr>
        <w:pStyle w:val="TOC1"/>
        <w:rPr>
          <w:rFonts w:eastAsiaTheme="minorEastAsia" w:cstheme="minorBidi"/>
          <w:noProof/>
          <w:kern w:val="2"/>
          <w:sz w:val="24"/>
          <w:szCs w:val="24"/>
          <w14:ligatures w14:val="standardContextual"/>
        </w:rPr>
      </w:pPr>
      <w:r w:rsidRPr="00D20217">
        <w:rPr>
          <w:rFonts w:asciiTheme="majorHAnsi" w:hAnsiTheme="majorHAnsi" w:cstheme="majorHAnsi"/>
          <w:sz w:val="22"/>
          <w:szCs w:val="22"/>
        </w:rPr>
        <w:fldChar w:fldCharType="begin"/>
      </w:r>
      <w:r w:rsidRPr="00D20217">
        <w:rPr>
          <w:rFonts w:asciiTheme="majorHAnsi" w:hAnsiTheme="majorHAnsi" w:cstheme="majorHAnsi"/>
          <w:sz w:val="22"/>
          <w:szCs w:val="22"/>
        </w:rPr>
        <w:instrText xml:space="preserve"> TOC \o "1-3" \h \z \u </w:instrText>
      </w:r>
      <w:r w:rsidRPr="00D20217">
        <w:rPr>
          <w:rFonts w:asciiTheme="majorHAnsi" w:hAnsiTheme="majorHAnsi" w:cstheme="majorHAnsi"/>
          <w:sz w:val="22"/>
          <w:szCs w:val="22"/>
        </w:rPr>
        <w:fldChar w:fldCharType="separate"/>
      </w:r>
      <w:hyperlink w:anchor="_Toc186790719" w:history="1">
        <w:r w:rsidR="00BF1CD9" w:rsidRPr="00DF6D6F">
          <w:rPr>
            <w:rStyle w:val="Hyperlink"/>
            <w:rFonts w:eastAsiaTheme="majorEastAsia" w:cstheme="majorHAnsi"/>
            <w:noProof/>
          </w:rPr>
          <w:t>I.</w:t>
        </w:r>
        <w:r w:rsidR="00BF1CD9">
          <w:rPr>
            <w:rFonts w:eastAsiaTheme="minorEastAsia" w:cstheme="minorBidi"/>
            <w:noProof/>
            <w:kern w:val="2"/>
            <w:sz w:val="24"/>
            <w:szCs w:val="24"/>
            <w14:ligatures w14:val="standardContextual"/>
          </w:rPr>
          <w:tab/>
        </w:r>
        <w:r w:rsidR="00BF1CD9" w:rsidRPr="00DF6D6F">
          <w:rPr>
            <w:rStyle w:val="Hyperlink"/>
            <w:rFonts w:eastAsiaTheme="majorEastAsia" w:cstheme="majorHAnsi"/>
            <w:noProof/>
          </w:rPr>
          <w:t>OBJECTIVE</w:t>
        </w:r>
        <w:r w:rsidR="00BF1CD9">
          <w:rPr>
            <w:noProof/>
            <w:webHidden/>
          </w:rPr>
          <w:tab/>
        </w:r>
        <w:r w:rsidR="00BF1CD9">
          <w:rPr>
            <w:noProof/>
            <w:webHidden/>
          </w:rPr>
          <w:fldChar w:fldCharType="begin"/>
        </w:r>
        <w:r w:rsidR="00BF1CD9">
          <w:rPr>
            <w:noProof/>
            <w:webHidden/>
          </w:rPr>
          <w:instrText xml:space="preserve"> PAGEREF _Toc186790719 \h </w:instrText>
        </w:r>
        <w:r w:rsidR="00BF1CD9">
          <w:rPr>
            <w:noProof/>
            <w:webHidden/>
          </w:rPr>
        </w:r>
        <w:r w:rsidR="00BF1CD9">
          <w:rPr>
            <w:noProof/>
            <w:webHidden/>
          </w:rPr>
          <w:fldChar w:fldCharType="separate"/>
        </w:r>
        <w:r w:rsidR="00BF1CD9">
          <w:rPr>
            <w:noProof/>
            <w:webHidden/>
          </w:rPr>
          <w:t>3</w:t>
        </w:r>
        <w:r w:rsidR="00BF1CD9">
          <w:rPr>
            <w:noProof/>
            <w:webHidden/>
          </w:rPr>
          <w:fldChar w:fldCharType="end"/>
        </w:r>
      </w:hyperlink>
    </w:p>
    <w:p w14:paraId="10BB6A85" w14:textId="7A9E6721" w:rsidR="00BF1CD9" w:rsidRDefault="00BF1CD9" w:rsidP="00B34602">
      <w:pPr>
        <w:pStyle w:val="TOC1"/>
        <w:rPr>
          <w:rFonts w:eastAsiaTheme="minorEastAsia" w:cstheme="minorBidi"/>
          <w:noProof/>
          <w:kern w:val="2"/>
          <w:sz w:val="24"/>
          <w:szCs w:val="24"/>
          <w14:ligatures w14:val="standardContextual"/>
        </w:rPr>
      </w:pPr>
      <w:hyperlink w:anchor="_Toc186790720" w:history="1">
        <w:r w:rsidRPr="00DF6D6F">
          <w:rPr>
            <w:rStyle w:val="Hyperlink"/>
            <w:rFonts w:eastAsiaTheme="majorEastAsia" w:cstheme="majorHAnsi"/>
            <w:noProof/>
          </w:rPr>
          <w:t>II.</w:t>
        </w:r>
        <w:r>
          <w:rPr>
            <w:rFonts w:eastAsiaTheme="minorEastAsia" w:cstheme="minorBidi"/>
            <w:noProof/>
            <w:kern w:val="2"/>
            <w:sz w:val="24"/>
            <w:szCs w:val="24"/>
            <w14:ligatures w14:val="standardContextual"/>
          </w:rPr>
          <w:tab/>
        </w:r>
        <w:r w:rsidRPr="00DF6D6F">
          <w:rPr>
            <w:rStyle w:val="Hyperlink"/>
            <w:rFonts w:eastAsiaTheme="majorEastAsia" w:cstheme="majorHAnsi"/>
            <w:noProof/>
          </w:rPr>
          <w:t>DEFINITIONS</w:t>
        </w:r>
        <w:r>
          <w:rPr>
            <w:noProof/>
            <w:webHidden/>
          </w:rPr>
          <w:tab/>
        </w:r>
        <w:r>
          <w:rPr>
            <w:noProof/>
            <w:webHidden/>
          </w:rPr>
          <w:fldChar w:fldCharType="begin"/>
        </w:r>
        <w:r>
          <w:rPr>
            <w:noProof/>
            <w:webHidden/>
          </w:rPr>
          <w:instrText xml:space="preserve"> PAGEREF _Toc186790720 \h </w:instrText>
        </w:r>
        <w:r>
          <w:rPr>
            <w:noProof/>
            <w:webHidden/>
          </w:rPr>
        </w:r>
        <w:r>
          <w:rPr>
            <w:noProof/>
            <w:webHidden/>
          </w:rPr>
          <w:fldChar w:fldCharType="separate"/>
        </w:r>
        <w:r>
          <w:rPr>
            <w:noProof/>
            <w:webHidden/>
          </w:rPr>
          <w:t>3</w:t>
        </w:r>
        <w:r>
          <w:rPr>
            <w:noProof/>
            <w:webHidden/>
          </w:rPr>
          <w:fldChar w:fldCharType="end"/>
        </w:r>
      </w:hyperlink>
    </w:p>
    <w:p w14:paraId="00F219C2" w14:textId="1CD996B7" w:rsidR="00BF1CD9" w:rsidRDefault="00BF1CD9" w:rsidP="00B34602">
      <w:pPr>
        <w:pStyle w:val="TOC1"/>
        <w:rPr>
          <w:rFonts w:eastAsiaTheme="minorEastAsia" w:cstheme="minorBidi"/>
          <w:noProof/>
          <w:kern w:val="2"/>
          <w:sz w:val="24"/>
          <w:szCs w:val="24"/>
          <w14:ligatures w14:val="standardContextual"/>
        </w:rPr>
      </w:pPr>
      <w:hyperlink w:anchor="_Toc186790721" w:history="1">
        <w:r w:rsidRPr="00DF6D6F">
          <w:rPr>
            <w:rStyle w:val="Hyperlink"/>
            <w:rFonts w:eastAsiaTheme="majorEastAsia" w:cstheme="majorHAnsi"/>
            <w:noProof/>
          </w:rPr>
          <w:t>III.</w:t>
        </w:r>
        <w:r>
          <w:rPr>
            <w:rFonts w:eastAsiaTheme="minorEastAsia" w:cstheme="minorBidi"/>
            <w:noProof/>
            <w:kern w:val="2"/>
            <w:sz w:val="24"/>
            <w:szCs w:val="24"/>
            <w14:ligatures w14:val="standardContextual"/>
          </w:rPr>
          <w:tab/>
        </w:r>
        <w:r w:rsidRPr="00DF6D6F">
          <w:rPr>
            <w:rStyle w:val="Hyperlink"/>
            <w:rFonts w:eastAsiaTheme="majorEastAsia" w:cstheme="majorHAnsi"/>
            <w:noProof/>
          </w:rPr>
          <w:t>SCOPE</w:t>
        </w:r>
        <w:r>
          <w:rPr>
            <w:noProof/>
            <w:webHidden/>
          </w:rPr>
          <w:tab/>
        </w:r>
        <w:r>
          <w:rPr>
            <w:noProof/>
            <w:webHidden/>
          </w:rPr>
          <w:fldChar w:fldCharType="begin"/>
        </w:r>
        <w:r>
          <w:rPr>
            <w:noProof/>
            <w:webHidden/>
          </w:rPr>
          <w:instrText xml:space="preserve"> PAGEREF _Toc186790721 \h </w:instrText>
        </w:r>
        <w:r>
          <w:rPr>
            <w:noProof/>
            <w:webHidden/>
          </w:rPr>
        </w:r>
        <w:r>
          <w:rPr>
            <w:noProof/>
            <w:webHidden/>
          </w:rPr>
          <w:fldChar w:fldCharType="separate"/>
        </w:r>
        <w:r>
          <w:rPr>
            <w:noProof/>
            <w:webHidden/>
          </w:rPr>
          <w:t>4</w:t>
        </w:r>
        <w:r>
          <w:rPr>
            <w:noProof/>
            <w:webHidden/>
          </w:rPr>
          <w:fldChar w:fldCharType="end"/>
        </w:r>
      </w:hyperlink>
    </w:p>
    <w:p w14:paraId="62D2C5BF" w14:textId="20023DB5" w:rsidR="00BF1CD9" w:rsidRDefault="00BF1CD9">
      <w:pPr>
        <w:pStyle w:val="TOC2"/>
        <w:tabs>
          <w:tab w:val="left" w:pos="720"/>
          <w:tab w:val="right" w:leader="dot" w:pos="10358"/>
        </w:tabs>
        <w:rPr>
          <w:rFonts w:eastAsiaTheme="minorEastAsia" w:cstheme="minorBidi"/>
          <w:smallCaps w:val="0"/>
          <w:noProof/>
          <w:kern w:val="2"/>
          <w:sz w:val="24"/>
          <w:szCs w:val="24"/>
          <w14:ligatures w14:val="standardContextual"/>
        </w:rPr>
      </w:pPr>
      <w:hyperlink w:anchor="_Toc186790722" w:history="1">
        <w:r w:rsidRPr="00DF6D6F">
          <w:rPr>
            <w:rStyle w:val="Hyperlink"/>
            <w:rFonts w:eastAsiaTheme="majorEastAsia" w:cstheme="majorHAnsi"/>
            <w:noProof/>
          </w:rPr>
          <w:t>A.</w:t>
        </w:r>
        <w:r>
          <w:rPr>
            <w:rFonts w:eastAsiaTheme="minorEastAsia" w:cstheme="minorBidi"/>
            <w:smallCaps w:val="0"/>
            <w:noProof/>
            <w:kern w:val="2"/>
            <w:sz w:val="24"/>
            <w:szCs w:val="24"/>
            <w14:ligatures w14:val="standardContextual"/>
          </w:rPr>
          <w:tab/>
        </w:r>
        <w:r w:rsidRPr="00DF6D6F">
          <w:rPr>
            <w:rStyle w:val="Hyperlink"/>
            <w:rFonts w:eastAsiaTheme="majorEastAsia" w:cstheme="majorHAnsi"/>
            <w:noProof/>
          </w:rPr>
          <w:t>Geographical Scope</w:t>
        </w:r>
        <w:r>
          <w:rPr>
            <w:noProof/>
            <w:webHidden/>
          </w:rPr>
          <w:tab/>
        </w:r>
        <w:r>
          <w:rPr>
            <w:noProof/>
            <w:webHidden/>
          </w:rPr>
          <w:fldChar w:fldCharType="begin"/>
        </w:r>
        <w:r>
          <w:rPr>
            <w:noProof/>
            <w:webHidden/>
          </w:rPr>
          <w:instrText xml:space="preserve"> PAGEREF _Toc186790722 \h </w:instrText>
        </w:r>
        <w:r>
          <w:rPr>
            <w:noProof/>
            <w:webHidden/>
          </w:rPr>
        </w:r>
        <w:r>
          <w:rPr>
            <w:noProof/>
            <w:webHidden/>
          </w:rPr>
          <w:fldChar w:fldCharType="separate"/>
        </w:r>
        <w:r>
          <w:rPr>
            <w:noProof/>
            <w:webHidden/>
          </w:rPr>
          <w:t>4</w:t>
        </w:r>
        <w:r>
          <w:rPr>
            <w:noProof/>
            <w:webHidden/>
          </w:rPr>
          <w:fldChar w:fldCharType="end"/>
        </w:r>
      </w:hyperlink>
    </w:p>
    <w:p w14:paraId="4AF918EA" w14:textId="6536C582" w:rsidR="00BF1CD9" w:rsidRDefault="00BF1CD9">
      <w:pPr>
        <w:pStyle w:val="TOC2"/>
        <w:tabs>
          <w:tab w:val="left" w:pos="720"/>
          <w:tab w:val="right" w:leader="dot" w:pos="10358"/>
        </w:tabs>
        <w:rPr>
          <w:rFonts w:eastAsiaTheme="minorEastAsia" w:cstheme="minorBidi"/>
          <w:smallCaps w:val="0"/>
          <w:noProof/>
          <w:kern w:val="2"/>
          <w:sz w:val="24"/>
          <w:szCs w:val="24"/>
          <w14:ligatures w14:val="standardContextual"/>
        </w:rPr>
      </w:pPr>
      <w:hyperlink w:anchor="_Toc186790723" w:history="1">
        <w:r w:rsidRPr="00DF6D6F">
          <w:rPr>
            <w:rStyle w:val="Hyperlink"/>
            <w:rFonts w:eastAsiaTheme="majorEastAsia" w:cstheme="majorHAnsi"/>
            <w:noProof/>
          </w:rPr>
          <w:t>B.</w:t>
        </w:r>
        <w:r>
          <w:rPr>
            <w:rFonts w:eastAsiaTheme="minorEastAsia" w:cstheme="minorBidi"/>
            <w:smallCaps w:val="0"/>
            <w:noProof/>
            <w:kern w:val="2"/>
            <w:sz w:val="24"/>
            <w:szCs w:val="24"/>
            <w14:ligatures w14:val="standardContextual"/>
          </w:rPr>
          <w:tab/>
        </w:r>
        <w:r w:rsidRPr="00DF6D6F">
          <w:rPr>
            <w:rStyle w:val="Hyperlink"/>
            <w:rFonts w:eastAsiaTheme="majorEastAsia" w:cstheme="majorHAnsi"/>
            <w:noProof/>
          </w:rPr>
          <w:t>Roles in scope for policy</w:t>
        </w:r>
        <w:r>
          <w:rPr>
            <w:noProof/>
            <w:webHidden/>
          </w:rPr>
          <w:tab/>
        </w:r>
        <w:r>
          <w:rPr>
            <w:noProof/>
            <w:webHidden/>
          </w:rPr>
          <w:fldChar w:fldCharType="begin"/>
        </w:r>
        <w:r>
          <w:rPr>
            <w:noProof/>
            <w:webHidden/>
          </w:rPr>
          <w:instrText xml:space="preserve"> PAGEREF _Toc186790723 \h </w:instrText>
        </w:r>
        <w:r>
          <w:rPr>
            <w:noProof/>
            <w:webHidden/>
          </w:rPr>
        </w:r>
        <w:r>
          <w:rPr>
            <w:noProof/>
            <w:webHidden/>
          </w:rPr>
          <w:fldChar w:fldCharType="separate"/>
        </w:r>
        <w:r>
          <w:rPr>
            <w:noProof/>
            <w:webHidden/>
          </w:rPr>
          <w:t>4</w:t>
        </w:r>
        <w:r>
          <w:rPr>
            <w:noProof/>
            <w:webHidden/>
          </w:rPr>
          <w:fldChar w:fldCharType="end"/>
        </w:r>
      </w:hyperlink>
    </w:p>
    <w:p w14:paraId="513D96DC" w14:textId="32CD64AE"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24" w:history="1">
        <w:r w:rsidRPr="00DF6D6F">
          <w:rPr>
            <w:rStyle w:val="Hyperlink"/>
            <w:rFonts w:eastAsiaTheme="majorEastAsia"/>
            <w:noProof/>
          </w:rPr>
          <w:t>Contingent Workforce</w:t>
        </w:r>
        <w:r>
          <w:rPr>
            <w:noProof/>
            <w:webHidden/>
          </w:rPr>
          <w:tab/>
        </w:r>
        <w:r>
          <w:rPr>
            <w:noProof/>
            <w:webHidden/>
          </w:rPr>
          <w:fldChar w:fldCharType="begin"/>
        </w:r>
        <w:r>
          <w:rPr>
            <w:noProof/>
            <w:webHidden/>
          </w:rPr>
          <w:instrText xml:space="preserve"> PAGEREF _Toc186790724 \h </w:instrText>
        </w:r>
        <w:r>
          <w:rPr>
            <w:noProof/>
            <w:webHidden/>
          </w:rPr>
        </w:r>
        <w:r>
          <w:rPr>
            <w:noProof/>
            <w:webHidden/>
          </w:rPr>
          <w:fldChar w:fldCharType="separate"/>
        </w:r>
        <w:r>
          <w:rPr>
            <w:noProof/>
            <w:webHidden/>
          </w:rPr>
          <w:t>4</w:t>
        </w:r>
        <w:r>
          <w:rPr>
            <w:noProof/>
            <w:webHidden/>
          </w:rPr>
          <w:fldChar w:fldCharType="end"/>
        </w:r>
      </w:hyperlink>
    </w:p>
    <w:p w14:paraId="42D14532" w14:textId="474EF76B" w:rsidR="00BF1CD9" w:rsidRDefault="00BF1CD9">
      <w:pPr>
        <w:pStyle w:val="TOC2"/>
        <w:tabs>
          <w:tab w:val="left" w:pos="720"/>
          <w:tab w:val="right" w:leader="dot" w:pos="10358"/>
        </w:tabs>
        <w:rPr>
          <w:rFonts w:eastAsiaTheme="minorEastAsia" w:cstheme="minorBidi"/>
          <w:smallCaps w:val="0"/>
          <w:noProof/>
          <w:kern w:val="2"/>
          <w:sz w:val="24"/>
          <w:szCs w:val="24"/>
          <w14:ligatures w14:val="standardContextual"/>
        </w:rPr>
      </w:pPr>
      <w:hyperlink w:anchor="_Toc186790725" w:history="1">
        <w:r w:rsidRPr="00DF6D6F">
          <w:rPr>
            <w:rStyle w:val="Hyperlink"/>
            <w:rFonts w:eastAsiaTheme="majorEastAsia" w:cstheme="majorHAnsi"/>
            <w:noProof/>
            <w:lang w:eastAsia="nl-NL" w:bidi="nl-NL"/>
          </w:rPr>
          <w:t>C.</w:t>
        </w:r>
        <w:r>
          <w:rPr>
            <w:rFonts w:eastAsiaTheme="minorEastAsia" w:cstheme="minorBidi"/>
            <w:smallCaps w:val="0"/>
            <w:noProof/>
            <w:kern w:val="2"/>
            <w:sz w:val="24"/>
            <w:szCs w:val="24"/>
            <w14:ligatures w14:val="standardContextual"/>
          </w:rPr>
          <w:tab/>
        </w:r>
        <w:r w:rsidRPr="00DF6D6F">
          <w:rPr>
            <w:rStyle w:val="Hyperlink"/>
            <w:rFonts w:eastAsiaTheme="majorEastAsia" w:cstheme="majorHAnsi"/>
            <w:noProof/>
          </w:rPr>
          <w:t>Roles out of scope for policy</w:t>
        </w:r>
        <w:r>
          <w:rPr>
            <w:noProof/>
            <w:webHidden/>
          </w:rPr>
          <w:tab/>
        </w:r>
        <w:r>
          <w:rPr>
            <w:noProof/>
            <w:webHidden/>
          </w:rPr>
          <w:fldChar w:fldCharType="begin"/>
        </w:r>
        <w:r>
          <w:rPr>
            <w:noProof/>
            <w:webHidden/>
          </w:rPr>
          <w:instrText xml:space="preserve"> PAGEREF _Toc186790725 \h </w:instrText>
        </w:r>
        <w:r>
          <w:rPr>
            <w:noProof/>
            <w:webHidden/>
          </w:rPr>
        </w:r>
        <w:r>
          <w:rPr>
            <w:noProof/>
            <w:webHidden/>
          </w:rPr>
          <w:fldChar w:fldCharType="separate"/>
        </w:r>
        <w:r>
          <w:rPr>
            <w:noProof/>
            <w:webHidden/>
          </w:rPr>
          <w:t>4</w:t>
        </w:r>
        <w:r>
          <w:rPr>
            <w:noProof/>
            <w:webHidden/>
          </w:rPr>
          <w:fldChar w:fldCharType="end"/>
        </w:r>
      </w:hyperlink>
    </w:p>
    <w:p w14:paraId="71586FBE" w14:textId="0212448D"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26" w:history="1">
        <w:r w:rsidRPr="00DF6D6F">
          <w:rPr>
            <w:rStyle w:val="Hyperlink"/>
            <w:rFonts w:eastAsiaTheme="majorEastAsia" w:cstheme="majorHAnsi"/>
            <w:noProof/>
          </w:rPr>
          <w:t>Brink’s employees</w:t>
        </w:r>
        <w:r>
          <w:rPr>
            <w:noProof/>
            <w:webHidden/>
          </w:rPr>
          <w:tab/>
        </w:r>
        <w:r>
          <w:rPr>
            <w:noProof/>
            <w:webHidden/>
          </w:rPr>
          <w:fldChar w:fldCharType="begin"/>
        </w:r>
        <w:r>
          <w:rPr>
            <w:noProof/>
            <w:webHidden/>
          </w:rPr>
          <w:instrText xml:space="preserve"> PAGEREF _Toc186790726 \h </w:instrText>
        </w:r>
        <w:r>
          <w:rPr>
            <w:noProof/>
            <w:webHidden/>
          </w:rPr>
        </w:r>
        <w:r>
          <w:rPr>
            <w:noProof/>
            <w:webHidden/>
          </w:rPr>
          <w:fldChar w:fldCharType="separate"/>
        </w:r>
        <w:r>
          <w:rPr>
            <w:noProof/>
            <w:webHidden/>
          </w:rPr>
          <w:t>4</w:t>
        </w:r>
        <w:r>
          <w:rPr>
            <w:noProof/>
            <w:webHidden/>
          </w:rPr>
          <w:fldChar w:fldCharType="end"/>
        </w:r>
      </w:hyperlink>
    </w:p>
    <w:p w14:paraId="68C3D165" w14:textId="3F980F31"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27" w:history="1">
        <w:r w:rsidRPr="00DF6D6F">
          <w:rPr>
            <w:rStyle w:val="Hyperlink"/>
            <w:rFonts w:eastAsiaTheme="majorEastAsia" w:cstheme="majorHAnsi"/>
            <w:noProof/>
          </w:rPr>
          <w:t>Internships</w:t>
        </w:r>
        <w:r>
          <w:rPr>
            <w:noProof/>
            <w:webHidden/>
          </w:rPr>
          <w:tab/>
        </w:r>
        <w:r>
          <w:rPr>
            <w:noProof/>
            <w:webHidden/>
          </w:rPr>
          <w:fldChar w:fldCharType="begin"/>
        </w:r>
        <w:r>
          <w:rPr>
            <w:noProof/>
            <w:webHidden/>
          </w:rPr>
          <w:instrText xml:space="preserve"> PAGEREF _Toc186790727 \h </w:instrText>
        </w:r>
        <w:r>
          <w:rPr>
            <w:noProof/>
            <w:webHidden/>
          </w:rPr>
        </w:r>
        <w:r>
          <w:rPr>
            <w:noProof/>
            <w:webHidden/>
          </w:rPr>
          <w:fldChar w:fldCharType="separate"/>
        </w:r>
        <w:r>
          <w:rPr>
            <w:noProof/>
            <w:webHidden/>
          </w:rPr>
          <w:t>4</w:t>
        </w:r>
        <w:r>
          <w:rPr>
            <w:noProof/>
            <w:webHidden/>
          </w:rPr>
          <w:fldChar w:fldCharType="end"/>
        </w:r>
      </w:hyperlink>
    </w:p>
    <w:p w14:paraId="3B44F5D2" w14:textId="56A1C2BB"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28" w:history="1">
        <w:r w:rsidRPr="00DF6D6F">
          <w:rPr>
            <w:rStyle w:val="Hyperlink"/>
            <w:rFonts w:eastAsiaTheme="majorEastAsia" w:cstheme="majorHAnsi"/>
            <w:noProof/>
          </w:rPr>
          <w:t>Frontline Workers</w:t>
        </w:r>
        <w:r>
          <w:rPr>
            <w:noProof/>
            <w:webHidden/>
          </w:rPr>
          <w:tab/>
        </w:r>
        <w:r>
          <w:rPr>
            <w:noProof/>
            <w:webHidden/>
          </w:rPr>
          <w:fldChar w:fldCharType="begin"/>
        </w:r>
        <w:r>
          <w:rPr>
            <w:noProof/>
            <w:webHidden/>
          </w:rPr>
          <w:instrText xml:space="preserve"> PAGEREF _Toc186790728 \h </w:instrText>
        </w:r>
        <w:r>
          <w:rPr>
            <w:noProof/>
            <w:webHidden/>
          </w:rPr>
        </w:r>
        <w:r>
          <w:rPr>
            <w:noProof/>
            <w:webHidden/>
          </w:rPr>
          <w:fldChar w:fldCharType="separate"/>
        </w:r>
        <w:r>
          <w:rPr>
            <w:noProof/>
            <w:webHidden/>
          </w:rPr>
          <w:t>4</w:t>
        </w:r>
        <w:r>
          <w:rPr>
            <w:noProof/>
            <w:webHidden/>
          </w:rPr>
          <w:fldChar w:fldCharType="end"/>
        </w:r>
      </w:hyperlink>
    </w:p>
    <w:p w14:paraId="5F9742DE" w14:textId="5E0533C4"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29" w:history="1">
        <w:r w:rsidRPr="00DF6D6F">
          <w:rPr>
            <w:rStyle w:val="Hyperlink"/>
            <w:rFonts w:eastAsiaTheme="majorEastAsia" w:cstheme="majorHAnsi"/>
            <w:noProof/>
          </w:rPr>
          <w:t>Business Process Outsourcing (BPO) firms</w:t>
        </w:r>
        <w:r>
          <w:rPr>
            <w:noProof/>
            <w:webHidden/>
          </w:rPr>
          <w:tab/>
        </w:r>
        <w:r>
          <w:rPr>
            <w:noProof/>
            <w:webHidden/>
          </w:rPr>
          <w:fldChar w:fldCharType="begin"/>
        </w:r>
        <w:r>
          <w:rPr>
            <w:noProof/>
            <w:webHidden/>
          </w:rPr>
          <w:instrText xml:space="preserve"> PAGEREF _Toc186790729 \h </w:instrText>
        </w:r>
        <w:r>
          <w:rPr>
            <w:noProof/>
            <w:webHidden/>
          </w:rPr>
        </w:r>
        <w:r>
          <w:rPr>
            <w:noProof/>
            <w:webHidden/>
          </w:rPr>
          <w:fldChar w:fldCharType="separate"/>
        </w:r>
        <w:r>
          <w:rPr>
            <w:noProof/>
            <w:webHidden/>
          </w:rPr>
          <w:t>4</w:t>
        </w:r>
        <w:r>
          <w:rPr>
            <w:noProof/>
            <w:webHidden/>
          </w:rPr>
          <w:fldChar w:fldCharType="end"/>
        </w:r>
      </w:hyperlink>
    </w:p>
    <w:p w14:paraId="48ED26B9" w14:textId="652AB596"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30" w:history="1">
        <w:r w:rsidRPr="00DF6D6F">
          <w:rPr>
            <w:rStyle w:val="Hyperlink"/>
            <w:rFonts w:eastAsiaTheme="majorEastAsia" w:cstheme="majorHAnsi"/>
            <w:noProof/>
            <w:lang w:eastAsia="nl-NL" w:bidi="nl-NL"/>
          </w:rPr>
          <w:t>Consulting Projects</w:t>
        </w:r>
        <w:r>
          <w:rPr>
            <w:noProof/>
            <w:webHidden/>
          </w:rPr>
          <w:tab/>
        </w:r>
        <w:r>
          <w:rPr>
            <w:noProof/>
            <w:webHidden/>
          </w:rPr>
          <w:fldChar w:fldCharType="begin"/>
        </w:r>
        <w:r>
          <w:rPr>
            <w:noProof/>
            <w:webHidden/>
          </w:rPr>
          <w:instrText xml:space="preserve"> PAGEREF _Toc186790730 \h </w:instrText>
        </w:r>
        <w:r>
          <w:rPr>
            <w:noProof/>
            <w:webHidden/>
          </w:rPr>
        </w:r>
        <w:r>
          <w:rPr>
            <w:noProof/>
            <w:webHidden/>
          </w:rPr>
          <w:fldChar w:fldCharType="separate"/>
        </w:r>
        <w:r>
          <w:rPr>
            <w:noProof/>
            <w:webHidden/>
          </w:rPr>
          <w:t>5</w:t>
        </w:r>
        <w:r>
          <w:rPr>
            <w:noProof/>
            <w:webHidden/>
          </w:rPr>
          <w:fldChar w:fldCharType="end"/>
        </w:r>
      </w:hyperlink>
    </w:p>
    <w:p w14:paraId="4CF36C82" w14:textId="193E47C6" w:rsidR="00BF1CD9" w:rsidRDefault="00BF1CD9" w:rsidP="00B34602">
      <w:pPr>
        <w:pStyle w:val="TOC1"/>
        <w:rPr>
          <w:rFonts w:eastAsiaTheme="minorEastAsia" w:cstheme="minorBidi"/>
          <w:noProof/>
          <w:kern w:val="2"/>
          <w:sz w:val="24"/>
          <w:szCs w:val="24"/>
          <w14:ligatures w14:val="standardContextual"/>
        </w:rPr>
      </w:pPr>
      <w:hyperlink w:anchor="_Toc186790731" w:history="1">
        <w:r w:rsidRPr="00DF6D6F">
          <w:rPr>
            <w:rStyle w:val="Hyperlink"/>
            <w:rFonts w:eastAsia="Calibri"/>
            <w:noProof/>
            <w:lang w:eastAsia="nl-NL" w:bidi="nl-NL"/>
          </w:rPr>
          <w:t>IV.</w:t>
        </w:r>
        <w:r>
          <w:rPr>
            <w:rFonts w:eastAsiaTheme="minorEastAsia" w:cstheme="minorBidi"/>
            <w:noProof/>
            <w:kern w:val="2"/>
            <w:sz w:val="24"/>
            <w:szCs w:val="24"/>
            <w14:ligatures w14:val="standardContextual"/>
          </w:rPr>
          <w:tab/>
        </w:r>
        <w:r w:rsidRPr="00DF6D6F">
          <w:rPr>
            <w:rStyle w:val="Hyperlink"/>
            <w:rFonts w:eastAsiaTheme="majorEastAsia"/>
            <w:noProof/>
          </w:rPr>
          <w:t>RULES FOR ENGAGING CONTINGENT WORKERS</w:t>
        </w:r>
        <w:r>
          <w:rPr>
            <w:noProof/>
            <w:webHidden/>
          </w:rPr>
          <w:tab/>
        </w:r>
        <w:r>
          <w:rPr>
            <w:noProof/>
            <w:webHidden/>
          </w:rPr>
          <w:fldChar w:fldCharType="begin"/>
        </w:r>
        <w:r>
          <w:rPr>
            <w:noProof/>
            <w:webHidden/>
          </w:rPr>
          <w:instrText xml:space="preserve"> PAGEREF _Toc186790731 \h </w:instrText>
        </w:r>
        <w:r>
          <w:rPr>
            <w:noProof/>
            <w:webHidden/>
          </w:rPr>
        </w:r>
        <w:r>
          <w:rPr>
            <w:noProof/>
            <w:webHidden/>
          </w:rPr>
          <w:fldChar w:fldCharType="separate"/>
        </w:r>
        <w:r>
          <w:rPr>
            <w:noProof/>
            <w:webHidden/>
          </w:rPr>
          <w:t>6</w:t>
        </w:r>
        <w:r>
          <w:rPr>
            <w:noProof/>
            <w:webHidden/>
          </w:rPr>
          <w:fldChar w:fldCharType="end"/>
        </w:r>
      </w:hyperlink>
    </w:p>
    <w:p w14:paraId="3196A73F" w14:textId="66F4A646" w:rsidR="00BF1CD9" w:rsidRDefault="00BF1CD9">
      <w:pPr>
        <w:pStyle w:val="TOC2"/>
        <w:tabs>
          <w:tab w:val="left" w:pos="720"/>
          <w:tab w:val="right" w:leader="dot" w:pos="10358"/>
        </w:tabs>
        <w:rPr>
          <w:rFonts w:eastAsiaTheme="minorEastAsia" w:cstheme="minorBidi"/>
          <w:smallCaps w:val="0"/>
          <w:noProof/>
          <w:kern w:val="2"/>
          <w:sz w:val="24"/>
          <w:szCs w:val="24"/>
          <w14:ligatures w14:val="standardContextual"/>
        </w:rPr>
      </w:pPr>
      <w:hyperlink w:anchor="_Toc186790732" w:history="1">
        <w:r w:rsidRPr="00DF6D6F">
          <w:rPr>
            <w:rStyle w:val="Hyperlink"/>
            <w:rFonts w:eastAsiaTheme="majorEastAsia"/>
            <w:noProof/>
          </w:rPr>
          <w:t>A.</w:t>
        </w:r>
        <w:r>
          <w:rPr>
            <w:rFonts w:eastAsiaTheme="minorEastAsia" w:cstheme="minorBidi"/>
            <w:smallCaps w:val="0"/>
            <w:noProof/>
            <w:kern w:val="2"/>
            <w:sz w:val="24"/>
            <w:szCs w:val="24"/>
            <w14:ligatures w14:val="standardContextual"/>
          </w:rPr>
          <w:tab/>
        </w:r>
        <w:r w:rsidRPr="00DF6D6F">
          <w:rPr>
            <w:rStyle w:val="Hyperlink"/>
            <w:rFonts w:eastAsiaTheme="majorEastAsia"/>
            <w:noProof/>
          </w:rPr>
          <w:t>Overall Decision-Making Process</w:t>
        </w:r>
        <w:r>
          <w:rPr>
            <w:noProof/>
            <w:webHidden/>
          </w:rPr>
          <w:tab/>
        </w:r>
        <w:r>
          <w:rPr>
            <w:noProof/>
            <w:webHidden/>
          </w:rPr>
          <w:fldChar w:fldCharType="begin"/>
        </w:r>
        <w:r>
          <w:rPr>
            <w:noProof/>
            <w:webHidden/>
          </w:rPr>
          <w:instrText xml:space="preserve"> PAGEREF _Toc186790732 \h </w:instrText>
        </w:r>
        <w:r>
          <w:rPr>
            <w:noProof/>
            <w:webHidden/>
          </w:rPr>
        </w:r>
        <w:r>
          <w:rPr>
            <w:noProof/>
            <w:webHidden/>
          </w:rPr>
          <w:fldChar w:fldCharType="separate"/>
        </w:r>
        <w:r>
          <w:rPr>
            <w:noProof/>
            <w:webHidden/>
          </w:rPr>
          <w:t>6</w:t>
        </w:r>
        <w:r>
          <w:rPr>
            <w:noProof/>
            <w:webHidden/>
          </w:rPr>
          <w:fldChar w:fldCharType="end"/>
        </w:r>
      </w:hyperlink>
    </w:p>
    <w:p w14:paraId="7B9AE490" w14:textId="43F2B0B0" w:rsidR="00BF1CD9" w:rsidRDefault="00BF1CD9">
      <w:pPr>
        <w:pStyle w:val="TOC2"/>
        <w:tabs>
          <w:tab w:val="left" w:pos="720"/>
          <w:tab w:val="right" w:leader="dot" w:pos="10358"/>
        </w:tabs>
        <w:rPr>
          <w:rFonts w:eastAsiaTheme="minorEastAsia" w:cstheme="minorBidi"/>
          <w:smallCaps w:val="0"/>
          <w:noProof/>
          <w:kern w:val="2"/>
          <w:sz w:val="24"/>
          <w:szCs w:val="24"/>
          <w14:ligatures w14:val="standardContextual"/>
        </w:rPr>
      </w:pPr>
      <w:hyperlink w:anchor="_Toc186790733" w:history="1">
        <w:r w:rsidRPr="00DF6D6F">
          <w:rPr>
            <w:rStyle w:val="Hyperlink"/>
            <w:rFonts w:eastAsiaTheme="majorEastAsia"/>
            <w:noProof/>
          </w:rPr>
          <w:t>B.</w:t>
        </w:r>
        <w:r>
          <w:rPr>
            <w:rFonts w:eastAsiaTheme="minorEastAsia" w:cstheme="minorBidi"/>
            <w:smallCaps w:val="0"/>
            <w:noProof/>
            <w:kern w:val="2"/>
            <w:sz w:val="24"/>
            <w:szCs w:val="24"/>
            <w14:ligatures w14:val="standardContextual"/>
          </w:rPr>
          <w:tab/>
        </w:r>
        <w:r w:rsidRPr="00DF6D6F">
          <w:rPr>
            <w:rStyle w:val="Hyperlink"/>
            <w:rFonts w:eastAsiaTheme="majorEastAsia"/>
            <w:noProof/>
          </w:rPr>
          <w:t>Global Preferred Supplier List</w:t>
        </w:r>
        <w:r>
          <w:rPr>
            <w:noProof/>
            <w:webHidden/>
          </w:rPr>
          <w:tab/>
        </w:r>
        <w:r>
          <w:rPr>
            <w:noProof/>
            <w:webHidden/>
          </w:rPr>
          <w:fldChar w:fldCharType="begin"/>
        </w:r>
        <w:r>
          <w:rPr>
            <w:noProof/>
            <w:webHidden/>
          </w:rPr>
          <w:instrText xml:space="preserve"> PAGEREF _Toc186790733 \h </w:instrText>
        </w:r>
        <w:r>
          <w:rPr>
            <w:noProof/>
            <w:webHidden/>
          </w:rPr>
        </w:r>
        <w:r>
          <w:rPr>
            <w:noProof/>
            <w:webHidden/>
          </w:rPr>
          <w:fldChar w:fldCharType="separate"/>
        </w:r>
        <w:r>
          <w:rPr>
            <w:noProof/>
            <w:webHidden/>
          </w:rPr>
          <w:t>6</w:t>
        </w:r>
        <w:r>
          <w:rPr>
            <w:noProof/>
            <w:webHidden/>
          </w:rPr>
          <w:fldChar w:fldCharType="end"/>
        </w:r>
      </w:hyperlink>
    </w:p>
    <w:p w14:paraId="003F6FDD" w14:textId="34F5FE31" w:rsidR="00BF1CD9" w:rsidRDefault="00BF1CD9">
      <w:pPr>
        <w:pStyle w:val="TOC2"/>
        <w:tabs>
          <w:tab w:val="left" w:pos="720"/>
          <w:tab w:val="right" w:leader="dot" w:pos="10358"/>
        </w:tabs>
        <w:rPr>
          <w:rFonts w:eastAsiaTheme="minorEastAsia" w:cstheme="minorBidi"/>
          <w:smallCaps w:val="0"/>
          <w:noProof/>
          <w:kern w:val="2"/>
          <w:sz w:val="24"/>
          <w:szCs w:val="24"/>
          <w14:ligatures w14:val="standardContextual"/>
        </w:rPr>
      </w:pPr>
      <w:hyperlink w:anchor="_Toc186790734" w:history="1">
        <w:r w:rsidRPr="00DF6D6F">
          <w:rPr>
            <w:rStyle w:val="Hyperlink"/>
            <w:rFonts w:eastAsiaTheme="majorEastAsia"/>
            <w:noProof/>
          </w:rPr>
          <w:t>C.</w:t>
        </w:r>
        <w:r>
          <w:rPr>
            <w:rFonts w:eastAsiaTheme="minorEastAsia" w:cstheme="minorBidi"/>
            <w:smallCaps w:val="0"/>
            <w:noProof/>
            <w:kern w:val="2"/>
            <w:sz w:val="24"/>
            <w:szCs w:val="24"/>
            <w14:ligatures w14:val="standardContextual"/>
          </w:rPr>
          <w:tab/>
        </w:r>
        <w:r w:rsidRPr="00DF6D6F">
          <w:rPr>
            <w:rStyle w:val="Hyperlink"/>
            <w:rFonts w:eastAsiaTheme="majorEastAsia"/>
            <w:noProof/>
          </w:rPr>
          <w:t>Engaging Strategic Sourcing</w:t>
        </w:r>
        <w:r>
          <w:rPr>
            <w:noProof/>
            <w:webHidden/>
          </w:rPr>
          <w:tab/>
        </w:r>
        <w:r>
          <w:rPr>
            <w:noProof/>
            <w:webHidden/>
          </w:rPr>
          <w:fldChar w:fldCharType="begin"/>
        </w:r>
        <w:r>
          <w:rPr>
            <w:noProof/>
            <w:webHidden/>
          </w:rPr>
          <w:instrText xml:space="preserve"> PAGEREF _Toc186790734 \h </w:instrText>
        </w:r>
        <w:r>
          <w:rPr>
            <w:noProof/>
            <w:webHidden/>
          </w:rPr>
        </w:r>
        <w:r>
          <w:rPr>
            <w:noProof/>
            <w:webHidden/>
          </w:rPr>
          <w:fldChar w:fldCharType="separate"/>
        </w:r>
        <w:r>
          <w:rPr>
            <w:noProof/>
            <w:webHidden/>
          </w:rPr>
          <w:t>7</w:t>
        </w:r>
        <w:r>
          <w:rPr>
            <w:noProof/>
            <w:webHidden/>
          </w:rPr>
          <w:fldChar w:fldCharType="end"/>
        </w:r>
      </w:hyperlink>
    </w:p>
    <w:p w14:paraId="1CB31507" w14:textId="30C6A0FA"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35" w:history="1">
        <w:r w:rsidRPr="00DF6D6F">
          <w:rPr>
            <w:rStyle w:val="Hyperlink"/>
            <w:rFonts w:eastAsiaTheme="majorEastAsia"/>
            <w:noProof/>
          </w:rPr>
          <w:t>Engaging Contingent Workers</w:t>
        </w:r>
        <w:r>
          <w:rPr>
            <w:noProof/>
            <w:webHidden/>
          </w:rPr>
          <w:tab/>
        </w:r>
        <w:r>
          <w:rPr>
            <w:noProof/>
            <w:webHidden/>
          </w:rPr>
          <w:fldChar w:fldCharType="begin"/>
        </w:r>
        <w:r>
          <w:rPr>
            <w:noProof/>
            <w:webHidden/>
          </w:rPr>
          <w:instrText xml:space="preserve"> PAGEREF _Toc186790735 \h </w:instrText>
        </w:r>
        <w:r>
          <w:rPr>
            <w:noProof/>
            <w:webHidden/>
          </w:rPr>
        </w:r>
        <w:r>
          <w:rPr>
            <w:noProof/>
            <w:webHidden/>
          </w:rPr>
          <w:fldChar w:fldCharType="separate"/>
        </w:r>
        <w:r>
          <w:rPr>
            <w:noProof/>
            <w:webHidden/>
          </w:rPr>
          <w:t>7</w:t>
        </w:r>
        <w:r>
          <w:rPr>
            <w:noProof/>
            <w:webHidden/>
          </w:rPr>
          <w:fldChar w:fldCharType="end"/>
        </w:r>
      </w:hyperlink>
    </w:p>
    <w:p w14:paraId="1D3A79AD" w14:textId="0B138B3D"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36" w:history="1">
        <w:r w:rsidRPr="00DF6D6F">
          <w:rPr>
            <w:rStyle w:val="Hyperlink"/>
            <w:rFonts w:eastAsiaTheme="majorEastAsia"/>
            <w:noProof/>
          </w:rPr>
          <w:t>Approval to Recruit</w:t>
        </w:r>
        <w:r>
          <w:rPr>
            <w:noProof/>
            <w:webHidden/>
          </w:rPr>
          <w:tab/>
        </w:r>
        <w:r>
          <w:rPr>
            <w:noProof/>
            <w:webHidden/>
          </w:rPr>
          <w:fldChar w:fldCharType="begin"/>
        </w:r>
        <w:r>
          <w:rPr>
            <w:noProof/>
            <w:webHidden/>
          </w:rPr>
          <w:instrText xml:space="preserve"> PAGEREF _Toc186790736 \h </w:instrText>
        </w:r>
        <w:r>
          <w:rPr>
            <w:noProof/>
            <w:webHidden/>
          </w:rPr>
        </w:r>
        <w:r>
          <w:rPr>
            <w:noProof/>
            <w:webHidden/>
          </w:rPr>
          <w:fldChar w:fldCharType="separate"/>
        </w:r>
        <w:r>
          <w:rPr>
            <w:noProof/>
            <w:webHidden/>
          </w:rPr>
          <w:t>7</w:t>
        </w:r>
        <w:r>
          <w:rPr>
            <w:noProof/>
            <w:webHidden/>
          </w:rPr>
          <w:fldChar w:fldCharType="end"/>
        </w:r>
      </w:hyperlink>
    </w:p>
    <w:p w14:paraId="675A9253" w14:textId="3F126C2B"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37" w:history="1">
        <w:r w:rsidRPr="00DF6D6F">
          <w:rPr>
            <w:rStyle w:val="Hyperlink"/>
            <w:rFonts w:eastAsia="Calibri"/>
            <w:noProof/>
            <w:lang w:eastAsia="nl-NL" w:bidi="nl-NL"/>
          </w:rPr>
          <w:t>Assignment Length</w:t>
        </w:r>
        <w:r>
          <w:rPr>
            <w:noProof/>
            <w:webHidden/>
          </w:rPr>
          <w:tab/>
        </w:r>
        <w:r>
          <w:rPr>
            <w:noProof/>
            <w:webHidden/>
          </w:rPr>
          <w:fldChar w:fldCharType="begin"/>
        </w:r>
        <w:r>
          <w:rPr>
            <w:noProof/>
            <w:webHidden/>
          </w:rPr>
          <w:instrText xml:space="preserve"> PAGEREF _Toc186790737 \h </w:instrText>
        </w:r>
        <w:r>
          <w:rPr>
            <w:noProof/>
            <w:webHidden/>
          </w:rPr>
        </w:r>
        <w:r>
          <w:rPr>
            <w:noProof/>
            <w:webHidden/>
          </w:rPr>
          <w:fldChar w:fldCharType="separate"/>
        </w:r>
        <w:r>
          <w:rPr>
            <w:noProof/>
            <w:webHidden/>
          </w:rPr>
          <w:t>7</w:t>
        </w:r>
        <w:r>
          <w:rPr>
            <w:noProof/>
            <w:webHidden/>
          </w:rPr>
          <w:fldChar w:fldCharType="end"/>
        </w:r>
      </w:hyperlink>
    </w:p>
    <w:p w14:paraId="18AC6800" w14:textId="5058750B"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38" w:history="1">
        <w:r w:rsidRPr="00DF6D6F">
          <w:rPr>
            <w:rStyle w:val="Hyperlink"/>
            <w:rFonts w:eastAsia="Calibri"/>
            <w:noProof/>
            <w:lang w:eastAsia="nl-NL" w:bidi="nl-NL"/>
          </w:rPr>
          <w:t>Assignment Extensions</w:t>
        </w:r>
        <w:r>
          <w:rPr>
            <w:noProof/>
            <w:webHidden/>
          </w:rPr>
          <w:tab/>
        </w:r>
        <w:r>
          <w:rPr>
            <w:noProof/>
            <w:webHidden/>
          </w:rPr>
          <w:fldChar w:fldCharType="begin"/>
        </w:r>
        <w:r>
          <w:rPr>
            <w:noProof/>
            <w:webHidden/>
          </w:rPr>
          <w:instrText xml:space="preserve"> PAGEREF _Toc186790738 \h </w:instrText>
        </w:r>
        <w:r>
          <w:rPr>
            <w:noProof/>
            <w:webHidden/>
          </w:rPr>
        </w:r>
        <w:r>
          <w:rPr>
            <w:noProof/>
            <w:webHidden/>
          </w:rPr>
          <w:fldChar w:fldCharType="separate"/>
        </w:r>
        <w:r>
          <w:rPr>
            <w:noProof/>
            <w:webHidden/>
          </w:rPr>
          <w:t>7</w:t>
        </w:r>
        <w:r>
          <w:rPr>
            <w:noProof/>
            <w:webHidden/>
          </w:rPr>
          <w:fldChar w:fldCharType="end"/>
        </w:r>
      </w:hyperlink>
    </w:p>
    <w:p w14:paraId="291E866B" w14:textId="4BC7EECB"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39" w:history="1">
        <w:r w:rsidRPr="00DF6D6F">
          <w:rPr>
            <w:rStyle w:val="Hyperlink"/>
            <w:rFonts w:eastAsia="Calibri"/>
            <w:noProof/>
            <w:lang w:eastAsia="nl-NL" w:bidi="nl-NL"/>
          </w:rPr>
          <w:t>Worker tenure separation period</w:t>
        </w:r>
        <w:r>
          <w:rPr>
            <w:noProof/>
            <w:webHidden/>
          </w:rPr>
          <w:tab/>
        </w:r>
        <w:r>
          <w:rPr>
            <w:noProof/>
            <w:webHidden/>
          </w:rPr>
          <w:fldChar w:fldCharType="begin"/>
        </w:r>
        <w:r>
          <w:rPr>
            <w:noProof/>
            <w:webHidden/>
          </w:rPr>
          <w:instrText xml:space="preserve"> PAGEREF _Toc186790739 \h </w:instrText>
        </w:r>
        <w:r>
          <w:rPr>
            <w:noProof/>
            <w:webHidden/>
          </w:rPr>
        </w:r>
        <w:r>
          <w:rPr>
            <w:noProof/>
            <w:webHidden/>
          </w:rPr>
          <w:fldChar w:fldCharType="separate"/>
        </w:r>
        <w:r>
          <w:rPr>
            <w:noProof/>
            <w:webHidden/>
          </w:rPr>
          <w:t>7</w:t>
        </w:r>
        <w:r>
          <w:rPr>
            <w:noProof/>
            <w:webHidden/>
          </w:rPr>
          <w:fldChar w:fldCharType="end"/>
        </w:r>
      </w:hyperlink>
    </w:p>
    <w:p w14:paraId="1317761D" w14:textId="17465CE5"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40" w:history="1">
        <w:r w:rsidRPr="00DF6D6F">
          <w:rPr>
            <w:rStyle w:val="Hyperlink"/>
            <w:rFonts w:eastAsia="Calibri"/>
            <w:noProof/>
            <w:lang w:eastAsia="nl-NL" w:bidi="nl-NL"/>
          </w:rPr>
          <w:t>Assignment Overtime</w:t>
        </w:r>
        <w:r>
          <w:rPr>
            <w:noProof/>
            <w:webHidden/>
          </w:rPr>
          <w:tab/>
        </w:r>
        <w:r>
          <w:rPr>
            <w:noProof/>
            <w:webHidden/>
          </w:rPr>
          <w:fldChar w:fldCharType="begin"/>
        </w:r>
        <w:r>
          <w:rPr>
            <w:noProof/>
            <w:webHidden/>
          </w:rPr>
          <w:instrText xml:space="preserve"> PAGEREF _Toc186790740 \h </w:instrText>
        </w:r>
        <w:r>
          <w:rPr>
            <w:noProof/>
            <w:webHidden/>
          </w:rPr>
        </w:r>
        <w:r>
          <w:rPr>
            <w:noProof/>
            <w:webHidden/>
          </w:rPr>
          <w:fldChar w:fldCharType="separate"/>
        </w:r>
        <w:r>
          <w:rPr>
            <w:noProof/>
            <w:webHidden/>
          </w:rPr>
          <w:t>8</w:t>
        </w:r>
        <w:r>
          <w:rPr>
            <w:noProof/>
            <w:webHidden/>
          </w:rPr>
          <w:fldChar w:fldCharType="end"/>
        </w:r>
      </w:hyperlink>
    </w:p>
    <w:p w14:paraId="061AF5B4" w14:textId="0C6E8345"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41" w:history="1">
        <w:r w:rsidRPr="00DF6D6F">
          <w:rPr>
            <w:rStyle w:val="Hyperlink"/>
            <w:rFonts w:eastAsia="Calibri"/>
            <w:noProof/>
            <w:lang w:eastAsia="nl-NL" w:bidi="nl-NL"/>
          </w:rPr>
          <w:t>Furlough</w:t>
        </w:r>
        <w:r>
          <w:rPr>
            <w:noProof/>
            <w:webHidden/>
          </w:rPr>
          <w:tab/>
        </w:r>
        <w:r>
          <w:rPr>
            <w:noProof/>
            <w:webHidden/>
          </w:rPr>
          <w:fldChar w:fldCharType="begin"/>
        </w:r>
        <w:r>
          <w:rPr>
            <w:noProof/>
            <w:webHidden/>
          </w:rPr>
          <w:instrText xml:space="preserve"> PAGEREF _Toc186790741 \h </w:instrText>
        </w:r>
        <w:r>
          <w:rPr>
            <w:noProof/>
            <w:webHidden/>
          </w:rPr>
        </w:r>
        <w:r>
          <w:rPr>
            <w:noProof/>
            <w:webHidden/>
          </w:rPr>
          <w:fldChar w:fldCharType="separate"/>
        </w:r>
        <w:r>
          <w:rPr>
            <w:noProof/>
            <w:webHidden/>
          </w:rPr>
          <w:t>8</w:t>
        </w:r>
        <w:r>
          <w:rPr>
            <w:noProof/>
            <w:webHidden/>
          </w:rPr>
          <w:fldChar w:fldCharType="end"/>
        </w:r>
      </w:hyperlink>
    </w:p>
    <w:p w14:paraId="5350B296" w14:textId="4192ABDC"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42" w:history="1">
        <w:r w:rsidRPr="00DF6D6F">
          <w:rPr>
            <w:rStyle w:val="Hyperlink"/>
            <w:rFonts w:eastAsia="Calibri"/>
            <w:noProof/>
            <w:lang w:eastAsia="nl-NL" w:bidi="nl-NL"/>
          </w:rPr>
          <w:t>Referred Hires</w:t>
        </w:r>
        <w:r>
          <w:rPr>
            <w:noProof/>
            <w:webHidden/>
          </w:rPr>
          <w:tab/>
        </w:r>
        <w:r>
          <w:rPr>
            <w:noProof/>
            <w:webHidden/>
          </w:rPr>
          <w:fldChar w:fldCharType="begin"/>
        </w:r>
        <w:r>
          <w:rPr>
            <w:noProof/>
            <w:webHidden/>
          </w:rPr>
          <w:instrText xml:space="preserve"> PAGEREF _Toc186790742 \h </w:instrText>
        </w:r>
        <w:r>
          <w:rPr>
            <w:noProof/>
            <w:webHidden/>
          </w:rPr>
        </w:r>
        <w:r>
          <w:rPr>
            <w:noProof/>
            <w:webHidden/>
          </w:rPr>
          <w:fldChar w:fldCharType="separate"/>
        </w:r>
        <w:r>
          <w:rPr>
            <w:noProof/>
            <w:webHidden/>
          </w:rPr>
          <w:t>8</w:t>
        </w:r>
        <w:r>
          <w:rPr>
            <w:noProof/>
            <w:webHidden/>
          </w:rPr>
          <w:fldChar w:fldCharType="end"/>
        </w:r>
      </w:hyperlink>
    </w:p>
    <w:p w14:paraId="59E0072C" w14:textId="43B9630C"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43" w:history="1">
        <w:r w:rsidRPr="00DF6D6F">
          <w:rPr>
            <w:rStyle w:val="Hyperlink"/>
            <w:rFonts w:eastAsia="Calibri"/>
            <w:noProof/>
            <w:lang w:eastAsia="nl-NL" w:bidi="nl-NL"/>
          </w:rPr>
          <w:t>Expenses and Reimbursements</w:t>
        </w:r>
        <w:r>
          <w:rPr>
            <w:noProof/>
            <w:webHidden/>
          </w:rPr>
          <w:tab/>
        </w:r>
        <w:r>
          <w:rPr>
            <w:noProof/>
            <w:webHidden/>
          </w:rPr>
          <w:fldChar w:fldCharType="begin"/>
        </w:r>
        <w:r>
          <w:rPr>
            <w:noProof/>
            <w:webHidden/>
          </w:rPr>
          <w:instrText xml:space="preserve"> PAGEREF _Toc186790743 \h </w:instrText>
        </w:r>
        <w:r>
          <w:rPr>
            <w:noProof/>
            <w:webHidden/>
          </w:rPr>
        </w:r>
        <w:r>
          <w:rPr>
            <w:noProof/>
            <w:webHidden/>
          </w:rPr>
          <w:fldChar w:fldCharType="separate"/>
        </w:r>
        <w:r>
          <w:rPr>
            <w:noProof/>
            <w:webHidden/>
          </w:rPr>
          <w:t>8</w:t>
        </w:r>
        <w:r>
          <w:rPr>
            <w:noProof/>
            <w:webHidden/>
          </w:rPr>
          <w:fldChar w:fldCharType="end"/>
        </w:r>
      </w:hyperlink>
    </w:p>
    <w:p w14:paraId="0280054B" w14:textId="0D21EA31"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44" w:history="1">
        <w:r w:rsidRPr="00DF6D6F">
          <w:rPr>
            <w:rStyle w:val="Hyperlink"/>
            <w:rFonts w:eastAsia="Calibri"/>
            <w:noProof/>
            <w:lang w:eastAsia="nl-NL" w:bidi="nl-NL"/>
          </w:rPr>
          <w:t>Risk Management</w:t>
        </w:r>
        <w:r>
          <w:rPr>
            <w:noProof/>
            <w:webHidden/>
          </w:rPr>
          <w:tab/>
        </w:r>
        <w:r>
          <w:rPr>
            <w:noProof/>
            <w:webHidden/>
          </w:rPr>
          <w:fldChar w:fldCharType="begin"/>
        </w:r>
        <w:r>
          <w:rPr>
            <w:noProof/>
            <w:webHidden/>
          </w:rPr>
          <w:instrText xml:space="preserve"> PAGEREF _Toc186790744 \h </w:instrText>
        </w:r>
        <w:r>
          <w:rPr>
            <w:noProof/>
            <w:webHidden/>
          </w:rPr>
        </w:r>
        <w:r>
          <w:rPr>
            <w:noProof/>
            <w:webHidden/>
          </w:rPr>
          <w:fldChar w:fldCharType="separate"/>
        </w:r>
        <w:r>
          <w:rPr>
            <w:noProof/>
            <w:webHidden/>
          </w:rPr>
          <w:t>8</w:t>
        </w:r>
        <w:r>
          <w:rPr>
            <w:noProof/>
            <w:webHidden/>
          </w:rPr>
          <w:fldChar w:fldCharType="end"/>
        </w:r>
      </w:hyperlink>
    </w:p>
    <w:p w14:paraId="0457CDB7" w14:textId="074BEDE9"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45" w:history="1">
        <w:r w:rsidRPr="00DF6D6F">
          <w:rPr>
            <w:rStyle w:val="Hyperlink"/>
            <w:rFonts w:eastAsia="Calibri"/>
            <w:noProof/>
            <w:lang w:eastAsia="nl-NL" w:bidi="nl-NL"/>
          </w:rPr>
          <w:t>On-Boarding Instructions</w:t>
        </w:r>
        <w:r>
          <w:rPr>
            <w:noProof/>
            <w:webHidden/>
          </w:rPr>
          <w:tab/>
        </w:r>
        <w:r>
          <w:rPr>
            <w:noProof/>
            <w:webHidden/>
          </w:rPr>
          <w:fldChar w:fldCharType="begin"/>
        </w:r>
        <w:r>
          <w:rPr>
            <w:noProof/>
            <w:webHidden/>
          </w:rPr>
          <w:instrText xml:space="preserve"> PAGEREF _Toc186790745 \h </w:instrText>
        </w:r>
        <w:r>
          <w:rPr>
            <w:noProof/>
            <w:webHidden/>
          </w:rPr>
        </w:r>
        <w:r>
          <w:rPr>
            <w:noProof/>
            <w:webHidden/>
          </w:rPr>
          <w:fldChar w:fldCharType="separate"/>
        </w:r>
        <w:r>
          <w:rPr>
            <w:noProof/>
            <w:webHidden/>
          </w:rPr>
          <w:t>9</w:t>
        </w:r>
        <w:r>
          <w:rPr>
            <w:noProof/>
            <w:webHidden/>
          </w:rPr>
          <w:fldChar w:fldCharType="end"/>
        </w:r>
      </w:hyperlink>
    </w:p>
    <w:p w14:paraId="377B9331" w14:textId="780A0090"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46" w:history="1">
        <w:r w:rsidRPr="00DF6D6F">
          <w:rPr>
            <w:rStyle w:val="Hyperlink"/>
            <w:rFonts w:eastAsia="Calibri"/>
            <w:noProof/>
            <w:lang w:eastAsia="nl-NL" w:bidi="nl-NL"/>
          </w:rPr>
          <w:t>Notice period</w:t>
        </w:r>
        <w:r>
          <w:rPr>
            <w:noProof/>
            <w:webHidden/>
          </w:rPr>
          <w:tab/>
        </w:r>
        <w:r>
          <w:rPr>
            <w:noProof/>
            <w:webHidden/>
          </w:rPr>
          <w:fldChar w:fldCharType="begin"/>
        </w:r>
        <w:r>
          <w:rPr>
            <w:noProof/>
            <w:webHidden/>
          </w:rPr>
          <w:instrText xml:space="preserve"> PAGEREF _Toc186790746 \h </w:instrText>
        </w:r>
        <w:r>
          <w:rPr>
            <w:noProof/>
            <w:webHidden/>
          </w:rPr>
        </w:r>
        <w:r>
          <w:rPr>
            <w:noProof/>
            <w:webHidden/>
          </w:rPr>
          <w:fldChar w:fldCharType="separate"/>
        </w:r>
        <w:r>
          <w:rPr>
            <w:noProof/>
            <w:webHidden/>
          </w:rPr>
          <w:t>9</w:t>
        </w:r>
        <w:r>
          <w:rPr>
            <w:noProof/>
            <w:webHidden/>
          </w:rPr>
          <w:fldChar w:fldCharType="end"/>
        </w:r>
      </w:hyperlink>
    </w:p>
    <w:p w14:paraId="1ACA81A1" w14:textId="51EADE22"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47" w:history="1">
        <w:r w:rsidRPr="00DF6D6F">
          <w:rPr>
            <w:rStyle w:val="Hyperlink"/>
            <w:rFonts w:eastAsia="Calibri"/>
            <w:noProof/>
            <w:lang w:eastAsia="nl-NL" w:bidi="nl-NL"/>
          </w:rPr>
          <w:t>Temporary to permanent transfers (temp2perm)</w:t>
        </w:r>
        <w:r>
          <w:rPr>
            <w:noProof/>
            <w:webHidden/>
          </w:rPr>
          <w:tab/>
        </w:r>
        <w:r>
          <w:rPr>
            <w:noProof/>
            <w:webHidden/>
          </w:rPr>
          <w:fldChar w:fldCharType="begin"/>
        </w:r>
        <w:r>
          <w:rPr>
            <w:noProof/>
            <w:webHidden/>
          </w:rPr>
          <w:instrText xml:space="preserve"> PAGEREF _Toc186790747 \h </w:instrText>
        </w:r>
        <w:r>
          <w:rPr>
            <w:noProof/>
            <w:webHidden/>
          </w:rPr>
        </w:r>
        <w:r>
          <w:rPr>
            <w:noProof/>
            <w:webHidden/>
          </w:rPr>
          <w:fldChar w:fldCharType="separate"/>
        </w:r>
        <w:r>
          <w:rPr>
            <w:noProof/>
            <w:webHidden/>
          </w:rPr>
          <w:t>9</w:t>
        </w:r>
        <w:r>
          <w:rPr>
            <w:noProof/>
            <w:webHidden/>
          </w:rPr>
          <w:fldChar w:fldCharType="end"/>
        </w:r>
      </w:hyperlink>
    </w:p>
    <w:p w14:paraId="65DBC8F0" w14:textId="305F0C13" w:rsidR="00BF1CD9" w:rsidRDefault="00BF1CD9" w:rsidP="00B34602">
      <w:pPr>
        <w:pStyle w:val="TOC1"/>
        <w:rPr>
          <w:rFonts w:eastAsiaTheme="minorEastAsia" w:cstheme="minorBidi"/>
          <w:noProof/>
          <w:kern w:val="2"/>
          <w:sz w:val="24"/>
          <w:szCs w:val="24"/>
          <w14:ligatures w14:val="standardContextual"/>
        </w:rPr>
      </w:pPr>
      <w:hyperlink w:anchor="_Toc186790748" w:history="1">
        <w:r w:rsidRPr="00DF6D6F">
          <w:rPr>
            <w:rStyle w:val="Hyperlink"/>
            <w:rFonts w:eastAsiaTheme="majorEastAsia" w:cstheme="majorHAnsi"/>
            <w:noProof/>
          </w:rPr>
          <w:t>V.</w:t>
        </w:r>
        <w:r>
          <w:rPr>
            <w:rFonts w:eastAsiaTheme="minorEastAsia" w:cstheme="minorBidi"/>
            <w:noProof/>
            <w:kern w:val="2"/>
            <w:sz w:val="24"/>
            <w:szCs w:val="24"/>
            <w14:ligatures w14:val="standardContextual"/>
          </w:rPr>
          <w:tab/>
        </w:r>
        <w:r w:rsidRPr="00DF6D6F">
          <w:rPr>
            <w:rStyle w:val="Hyperlink"/>
            <w:rFonts w:eastAsiaTheme="majorEastAsia" w:cstheme="majorHAnsi"/>
            <w:noProof/>
          </w:rPr>
          <w:t>ROLES AND RESPONSIBILITIES</w:t>
        </w:r>
        <w:r>
          <w:rPr>
            <w:noProof/>
            <w:webHidden/>
          </w:rPr>
          <w:tab/>
        </w:r>
        <w:r>
          <w:rPr>
            <w:noProof/>
            <w:webHidden/>
          </w:rPr>
          <w:fldChar w:fldCharType="begin"/>
        </w:r>
        <w:r>
          <w:rPr>
            <w:noProof/>
            <w:webHidden/>
          </w:rPr>
          <w:instrText xml:space="preserve"> PAGEREF _Toc186790748 \h </w:instrText>
        </w:r>
        <w:r>
          <w:rPr>
            <w:noProof/>
            <w:webHidden/>
          </w:rPr>
        </w:r>
        <w:r>
          <w:rPr>
            <w:noProof/>
            <w:webHidden/>
          </w:rPr>
          <w:fldChar w:fldCharType="separate"/>
        </w:r>
        <w:r>
          <w:rPr>
            <w:noProof/>
            <w:webHidden/>
          </w:rPr>
          <w:t>9</w:t>
        </w:r>
        <w:r>
          <w:rPr>
            <w:noProof/>
            <w:webHidden/>
          </w:rPr>
          <w:fldChar w:fldCharType="end"/>
        </w:r>
      </w:hyperlink>
    </w:p>
    <w:p w14:paraId="3BB89C05" w14:textId="0A67457E" w:rsidR="00BF1CD9" w:rsidRDefault="00BF1CD9" w:rsidP="00B34602">
      <w:pPr>
        <w:pStyle w:val="TOC1"/>
        <w:rPr>
          <w:rFonts w:eastAsiaTheme="minorEastAsia" w:cstheme="minorBidi"/>
          <w:noProof/>
          <w:kern w:val="2"/>
          <w:sz w:val="24"/>
          <w:szCs w:val="24"/>
          <w14:ligatures w14:val="standardContextual"/>
        </w:rPr>
      </w:pPr>
      <w:hyperlink w:anchor="_Toc186790749" w:history="1">
        <w:r w:rsidRPr="00DF6D6F">
          <w:rPr>
            <w:rStyle w:val="Hyperlink"/>
            <w:rFonts w:eastAsiaTheme="majorEastAsia"/>
            <w:noProof/>
          </w:rPr>
          <w:t>VI.</w:t>
        </w:r>
        <w:r>
          <w:rPr>
            <w:rFonts w:eastAsiaTheme="minorEastAsia" w:cstheme="minorBidi"/>
            <w:noProof/>
            <w:kern w:val="2"/>
            <w:sz w:val="24"/>
            <w:szCs w:val="24"/>
            <w14:ligatures w14:val="standardContextual"/>
          </w:rPr>
          <w:tab/>
        </w:r>
        <w:r w:rsidRPr="00DF6D6F">
          <w:rPr>
            <w:rStyle w:val="Hyperlink"/>
            <w:rFonts w:eastAsiaTheme="majorEastAsia"/>
            <w:noProof/>
          </w:rPr>
          <w:t>Local Adaptation Guidelines</w:t>
        </w:r>
        <w:r>
          <w:rPr>
            <w:noProof/>
            <w:webHidden/>
          </w:rPr>
          <w:tab/>
        </w:r>
        <w:r>
          <w:rPr>
            <w:noProof/>
            <w:webHidden/>
          </w:rPr>
          <w:fldChar w:fldCharType="begin"/>
        </w:r>
        <w:r>
          <w:rPr>
            <w:noProof/>
            <w:webHidden/>
          </w:rPr>
          <w:instrText xml:space="preserve"> PAGEREF _Toc186790749 \h </w:instrText>
        </w:r>
        <w:r>
          <w:rPr>
            <w:noProof/>
            <w:webHidden/>
          </w:rPr>
        </w:r>
        <w:r>
          <w:rPr>
            <w:noProof/>
            <w:webHidden/>
          </w:rPr>
          <w:fldChar w:fldCharType="separate"/>
        </w:r>
        <w:r>
          <w:rPr>
            <w:noProof/>
            <w:webHidden/>
          </w:rPr>
          <w:t>10</w:t>
        </w:r>
        <w:r>
          <w:rPr>
            <w:noProof/>
            <w:webHidden/>
          </w:rPr>
          <w:fldChar w:fldCharType="end"/>
        </w:r>
      </w:hyperlink>
    </w:p>
    <w:p w14:paraId="344636D2" w14:textId="212A5D44" w:rsidR="00BF1CD9" w:rsidRDefault="00BF1CD9">
      <w:pPr>
        <w:pStyle w:val="TOC2"/>
        <w:tabs>
          <w:tab w:val="right" w:leader="dot" w:pos="10358"/>
        </w:tabs>
        <w:rPr>
          <w:rFonts w:eastAsiaTheme="minorEastAsia" w:cstheme="minorBidi"/>
          <w:smallCaps w:val="0"/>
          <w:noProof/>
          <w:kern w:val="2"/>
          <w:sz w:val="24"/>
          <w:szCs w:val="24"/>
          <w14:ligatures w14:val="standardContextual"/>
        </w:rPr>
      </w:pPr>
      <w:hyperlink w:anchor="_Toc186790750" w:history="1">
        <w:r w:rsidRPr="00DF6D6F">
          <w:rPr>
            <w:rStyle w:val="Hyperlink"/>
            <w:rFonts w:eastAsiaTheme="majorEastAsia"/>
            <w:noProof/>
          </w:rPr>
          <w:t>Steps for Adaptation</w:t>
        </w:r>
        <w:r>
          <w:rPr>
            <w:noProof/>
            <w:webHidden/>
          </w:rPr>
          <w:tab/>
        </w:r>
        <w:r>
          <w:rPr>
            <w:noProof/>
            <w:webHidden/>
          </w:rPr>
          <w:fldChar w:fldCharType="begin"/>
        </w:r>
        <w:r>
          <w:rPr>
            <w:noProof/>
            <w:webHidden/>
          </w:rPr>
          <w:instrText xml:space="preserve"> PAGEREF _Toc186790750 \h </w:instrText>
        </w:r>
        <w:r>
          <w:rPr>
            <w:noProof/>
            <w:webHidden/>
          </w:rPr>
        </w:r>
        <w:r>
          <w:rPr>
            <w:noProof/>
            <w:webHidden/>
          </w:rPr>
          <w:fldChar w:fldCharType="separate"/>
        </w:r>
        <w:r>
          <w:rPr>
            <w:noProof/>
            <w:webHidden/>
          </w:rPr>
          <w:t>10</w:t>
        </w:r>
        <w:r>
          <w:rPr>
            <w:noProof/>
            <w:webHidden/>
          </w:rPr>
          <w:fldChar w:fldCharType="end"/>
        </w:r>
      </w:hyperlink>
    </w:p>
    <w:p w14:paraId="04B1E950" w14:textId="70A44FA9"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51" w:history="1">
        <w:r w:rsidRPr="00DF6D6F">
          <w:rPr>
            <w:rStyle w:val="Hyperlink"/>
            <w:rFonts w:ascii="Calibri" w:eastAsiaTheme="majorEastAsia" w:hAnsi="Calibri" w:cs="Calibri"/>
            <w:noProof/>
          </w:rPr>
          <w:t xml:space="preserve">1. </w:t>
        </w:r>
        <w:r w:rsidRPr="00DF6D6F">
          <w:rPr>
            <w:rStyle w:val="Hyperlink"/>
            <w:rFonts w:eastAsiaTheme="majorEastAsia"/>
            <w:noProof/>
          </w:rPr>
          <w:t>Review and Assessment</w:t>
        </w:r>
        <w:r>
          <w:rPr>
            <w:noProof/>
            <w:webHidden/>
          </w:rPr>
          <w:tab/>
        </w:r>
        <w:r>
          <w:rPr>
            <w:noProof/>
            <w:webHidden/>
          </w:rPr>
          <w:fldChar w:fldCharType="begin"/>
        </w:r>
        <w:r>
          <w:rPr>
            <w:noProof/>
            <w:webHidden/>
          </w:rPr>
          <w:instrText xml:space="preserve"> PAGEREF _Toc186790751 \h </w:instrText>
        </w:r>
        <w:r>
          <w:rPr>
            <w:noProof/>
            <w:webHidden/>
          </w:rPr>
        </w:r>
        <w:r>
          <w:rPr>
            <w:noProof/>
            <w:webHidden/>
          </w:rPr>
          <w:fldChar w:fldCharType="separate"/>
        </w:r>
        <w:r>
          <w:rPr>
            <w:noProof/>
            <w:webHidden/>
          </w:rPr>
          <w:t>10</w:t>
        </w:r>
        <w:r>
          <w:rPr>
            <w:noProof/>
            <w:webHidden/>
          </w:rPr>
          <w:fldChar w:fldCharType="end"/>
        </w:r>
      </w:hyperlink>
    </w:p>
    <w:p w14:paraId="38505F6E" w14:textId="00AB54FC"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52" w:history="1">
        <w:r w:rsidRPr="00DF6D6F">
          <w:rPr>
            <w:rStyle w:val="Hyperlink"/>
            <w:rFonts w:eastAsiaTheme="majorEastAsia"/>
            <w:noProof/>
          </w:rPr>
          <w:t>2. Local Contextualization</w:t>
        </w:r>
        <w:r>
          <w:rPr>
            <w:noProof/>
            <w:webHidden/>
          </w:rPr>
          <w:tab/>
        </w:r>
        <w:r>
          <w:rPr>
            <w:noProof/>
            <w:webHidden/>
          </w:rPr>
          <w:fldChar w:fldCharType="begin"/>
        </w:r>
        <w:r>
          <w:rPr>
            <w:noProof/>
            <w:webHidden/>
          </w:rPr>
          <w:instrText xml:space="preserve"> PAGEREF _Toc186790752 \h </w:instrText>
        </w:r>
        <w:r>
          <w:rPr>
            <w:noProof/>
            <w:webHidden/>
          </w:rPr>
        </w:r>
        <w:r>
          <w:rPr>
            <w:noProof/>
            <w:webHidden/>
          </w:rPr>
          <w:fldChar w:fldCharType="separate"/>
        </w:r>
        <w:r>
          <w:rPr>
            <w:noProof/>
            <w:webHidden/>
          </w:rPr>
          <w:t>10</w:t>
        </w:r>
        <w:r>
          <w:rPr>
            <w:noProof/>
            <w:webHidden/>
          </w:rPr>
          <w:fldChar w:fldCharType="end"/>
        </w:r>
      </w:hyperlink>
    </w:p>
    <w:p w14:paraId="7E69CFBB" w14:textId="6382FB32"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53" w:history="1">
        <w:r w:rsidRPr="00DF6D6F">
          <w:rPr>
            <w:rStyle w:val="Hyperlink"/>
            <w:rFonts w:eastAsiaTheme="majorEastAsia"/>
            <w:noProof/>
          </w:rPr>
          <w:t>3. Approval Process</w:t>
        </w:r>
        <w:r>
          <w:rPr>
            <w:noProof/>
            <w:webHidden/>
          </w:rPr>
          <w:tab/>
        </w:r>
        <w:r>
          <w:rPr>
            <w:noProof/>
            <w:webHidden/>
          </w:rPr>
          <w:fldChar w:fldCharType="begin"/>
        </w:r>
        <w:r>
          <w:rPr>
            <w:noProof/>
            <w:webHidden/>
          </w:rPr>
          <w:instrText xml:space="preserve"> PAGEREF _Toc186790753 \h </w:instrText>
        </w:r>
        <w:r>
          <w:rPr>
            <w:noProof/>
            <w:webHidden/>
          </w:rPr>
        </w:r>
        <w:r>
          <w:rPr>
            <w:noProof/>
            <w:webHidden/>
          </w:rPr>
          <w:fldChar w:fldCharType="separate"/>
        </w:r>
        <w:r>
          <w:rPr>
            <w:noProof/>
            <w:webHidden/>
          </w:rPr>
          <w:t>10</w:t>
        </w:r>
        <w:r>
          <w:rPr>
            <w:noProof/>
            <w:webHidden/>
          </w:rPr>
          <w:fldChar w:fldCharType="end"/>
        </w:r>
      </w:hyperlink>
    </w:p>
    <w:p w14:paraId="3C5331CB" w14:textId="5C47941A"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54" w:history="1">
        <w:r w:rsidRPr="00DF6D6F">
          <w:rPr>
            <w:rStyle w:val="Hyperlink"/>
            <w:rFonts w:eastAsiaTheme="majorEastAsia"/>
            <w:noProof/>
          </w:rPr>
          <w:t>4. Communication &amp; Training</w:t>
        </w:r>
        <w:r>
          <w:rPr>
            <w:noProof/>
            <w:webHidden/>
          </w:rPr>
          <w:tab/>
        </w:r>
        <w:r>
          <w:rPr>
            <w:noProof/>
            <w:webHidden/>
          </w:rPr>
          <w:fldChar w:fldCharType="begin"/>
        </w:r>
        <w:r>
          <w:rPr>
            <w:noProof/>
            <w:webHidden/>
          </w:rPr>
          <w:instrText xml:space="preserve"> PAGEREF _Toc186790754 \h </w:instrText>
        </w:r>
        <w:r>
          <w:rPr>
            <w:noProof/>
            <w:webHidden/>
          </w:rPr>
        </w:r>
        <w:r>
          <w:rPr>
            <w:noProof/>
            <w:webHidden/>
          </w:rPr>
          <w:fldChar w:fldCharType="separate"/>
        </w:r>
        <w:r>
          <w:rPr>
            <w:noProof/>
            <w:webHidden/>
          </w:rPr>
          <w:t>11</w:t>
        </w:r>
        <w:r>
          <w:rPr>
            <w:noProof/>
            <w:webHidden/>
          </w:rPr>
          <w:fldChar w:fldCharType="end"/>
        </w:r>
      </w:hyperlink>
    </w:p>
    <w:p w14:paraId="5EAA1222" w14:textId="0DC31555" w:rsidR="00BF1CD9" w:rsidRDefault="00BF1CD9">
      <w:pPr>
        <w:pStyle w:val="TOC3"/>
        <w:tabs>
          <w:tab w:val="right" w:leader="dot" w:pos="10358"/>
        </w:tabs>
        <w:rPr>
          <w:rFonts w:eastAsiaTheme="minorEastAsia" w:cstheme="minorBidi"/>
          <w:i w:val="0"/>
          <w:iCs w:val="0"/>
          <w:noProof/>
          <w:kern w:val="2"/>
          <w:sz w:val="24"/>
          <w:szCs w:val="24"/>
          <w14:ligatures w14:val="standardContextual"/>
        </w:rPr>
      </w:pPr>
      <w:hyperlink w:anchor="_Toc186790755" w:history="1">
        <w:r w:rsidRPr="00DF6D6F">
          <w:rPr>
            <w:rStyle w:val="Hyperlink"/>
            <w:rFonts w:eastAsiaTheme="majorEastAsia"/>
            <w:noProof/>
          </w:rPr>
          <w:t>5. Monitoring &amp; Reporting</w:t>
        </w:r>
        <w:r>
          <w:rPr>
            <w:noProof/>
            <w:webHidden/>
          </w:rPr>
          <w:tab/>
        </w:r>
        <w:r>
          <w:rPr>
            <w:noProof/>
            <w:webHidden/>
          </w:rPr>
          <w:fldChar w:fldCharType="begin"/>
        </w:r>
        <w:r>
          <w:rPr>
            <w:noProof/>
            <w:webHidden/>
          </w:rPr>
          <w:instrText xml:space="preserve"> PAGEREF _Toc186790755 \h </w:instrText>
        </w:r>
        <w:r>
          <w:rPr>
            <w:noProof/>
            <w:webHidden/>
          </w:rPr>
        </w:r>
        <w:r>
          <w:rPr>
            <w:noProof/>
            <w:webHidden/>
          </w:rPr>
          <w:fldChar w:fldCharType="separate"/>
        </w:r>
        <w:r>
          <w:rPr>
            <w:noProof/>
            <w:webHidden/>
          </w:rPr>
          <w:t>11</w:t>
        </w:r>
        <w:r>
          <w:rPr>
            <w:noProof/>
            <w:webHidden/>
          </w:rPr>
          <w:fldChar w:fldCharType="end"/>
        </w:r>
      </w:hyperlink>
    </w:p>
    <w:p w14:paraId="433FDCD6" w14:textId="3D8696F1" w:rsidR="007061CA" w:rsidRPr="00D20217" w:rsidRDefault="00D91AC2" w:rsidP="004F2E81">
      <w:pPr>
        <w:rPr>
          <w:rFonts w:asciiTheme="majorHAnsi" w:hAnsiTheme="majorHAnsi" w:cstheme="majorHAnsi"/>
          <w:sz w:val="22"/>
          <w:szCs w:val="22"/>
        </w:rPr>
      </w:pPr>
      <w:r w:rsidRPr="00D20217">
        <w:rPr>
          <w:rFonts w:asciiTheme="majorHAnsi" w:hAnsiTheme="majorHAnsi" w:cstheme="majorHAnsi"/>
          <w:sz w:val="22"/>
          <w:szCs w:val="22"/>
        </w:rPr>
        <w:fldChar w:fldCharType="end"/>
      </w:r>
    </w:p>
    <w:p w14:paraId="3DB078F5" w14:textId="77777777" w:rsidR="004208EF" w:rsidRPr="00D20217" w:rsidRDefault="004208EF" w:rsidP="004F2E81">
      <w:pPr>
        <w:rPr>
          <w:rFonts w:asciiTheme="majorHAnsi" w:hAnsiTheme="majorHAnsi" w:cstheme="majorHAnsi"/>
          <w:sz w:val="22"/>
          <w:szCs w:val="22"/>
        </w:rPr>
      </w:pPr>
    </w:p>
    <w:p w14:paraId="599E4946" w14:textId="77777777" w:rsidR="004208EF" w:rsidRDefault="004208EF" w:rsidP="004F2E81">
      <w:pPr>
        <w:rPr>
          <w:rFonts w:asciiTheme="majorHAnsi" w:hAnsiTheme="majorHAnsi" w:cstheme="majorHAnsi"/>
          <w:sz w:val="22"/>
          <w:szCs w:val="22"/>
        </w:rPr>
      </w:pPr>
    </w:p>
    <w:p w14:paraId="7073FCE0" w14:textId="77777777" w:rsidR="009B6399" w:rsidRDefault="009B6399" w:rsidP="004F2E81">
      <w:pPr>
        <w:rPr>
          <w:rFonts w:asciiTheme="majorHAnsi" w:hAnsiTheme="majorHAnsi" w:cstheme="majorHAnsi"/>
          <w:sz w:val="22"/>
          <w:szCs w:val="22"/>
        </w:rPr>
      </w:pPr>
    </w:p>
    <w:p w14:paraId="5FE81C71" w14:textId="77777777" w:rsidR="009B6399" w:rsidRDefault="009B6399" w:rsidP="004F2E81">
      <w:pPr>
        <w:rPr>
          <w:rFonts w:asciiTheme="majorHAnsi" w:hAnsiTheme="majorHAnsi" w:cstheme="majorHAnsi"/>
          <w:sz w:val="22"/>
          <w:szCs w:val="22"/>
        </w:rPr>
      </w:pPr>
    </w:p>
    <w:p w14:paraId="58EC99D7" w14:textId="77777777" w:rsidR="009B6399" w:rsidRDefault="009B6399" w:rsidP="004F2E81">
      <w:pPr>
        <w:rPr>
          <w:rFonts w:asciiTheme="majorHAnsi" w:hAnsiTheme="majorHAnsi" w:cstheme="majorHAnsi"/>
          <w:sz w:val="22"/>
          <w:szCs w:val="22"/>
        </w:rPr>
      </w:pPr>
    </w:p>
    <w:p w14:paraId="6DA1268C" w14:textId="77777777" w:rsidR="009B6399" w:rsidRDefault="009B6399" w:rsidP="004F2E81">
      <w:pPr>
        <w:rPr>
          <w:rFonts w:asciiTheme="majorHAnsi" w:hAnsiTheme="majorHAnsi" w:cstheme="majorHAnsi"/>
          <w:sz w:val="22"/>
          <w:szCs w:val="22"/>
        </w:rPr>
      </w:pPr>
    </w:p>
    <w:p w14:paraId="712B1E63" w14:textId="00D3D731" w:rsidR="00926647" w:rsidRDefault="00926647">
      <w:pPr>
        <w:rPr>
          <w:rFonts w:asciiTheme="majorHAnsi" w:hAnsiTheme="majorHAnsi" w:cstheme="majorHAnsi"/>
          <w:sz w:val="22"/>
          <w:szCs w:val="22"/>
        </w:rPr>
      </w:pPr>
      <w:r>
        <w:rPr>
          <w:rFonts w:asciiTheme="majorHAnsi" w:hAnsiTheme="majorHAnsi" w:cstheme="majorHAnsi"/>
          <w:sz w:val="22"/>
          <w:szCs w:val="22"/>
        </w:rPr>
        <w:br w:type="page"/>
      </w:r>
    </w:p>
    <w:p w14:paraId="5E6E7328" w14:textId="083E29BC" w:rsidR="006B02F5" w:rsidRPr="0051357C" w:rsidRDefault="006C11EA" w:rsidP="00337B8A">
      <w:pPr>
        <w:pStyle w:val="Heading1"/>
        <w:spacing w:after="240"/>
        <w:ind w:left="90" w:hanging="90"/>
        <w:rPr>
          <w:rFonts w:cstheme="majorHAnsi"/>
          <w:color w:val="auto"/>
        </w:rPr>
      </w:pPr>
      <w:bookmarkStart w:id="0" w:name="_Toc186790719"/>
      <w:r w:rsidRPr="0051357C">
        <w:rPr>
          <w:rFonts w:cstheme="majorHAnsi"/>
          <w:color w:val="auto"/>
        </w:rPr>
        <w:lastRenderedPageBreak/>
        <w:t>O</w:t>
      </w:r>
      <w:r w:rsidR="008E0A00">
        <w:rPr>
          <w:rFonts w:cstheme="majorHAnsi"/>
          <w:color w:val="auto"/>
        </w:rPr>
        <w:t>BJECTIVE</w:t>
      </w:r>
      <w:bookmarkEnd w:id="0"/>
    </w:p>
    <w:p w14:paraId="3F1D2548" w14:textId="07E8E0C7" w:rsidR="0015669C" w:rsidRDefault="000104AC" w:rsidP="0015669C">
      <w:pPr>
        <w:jc w:val="both"/>
        <w:rPr>
          <w:rFonts w:asciiTheme="majorHAnsi" w:hAnsiTheme="majorHAnsi" w:cstheme="majorHAnsi"/>
          <w:sz w:val="22"/>
          <w:szCs w:val="22"/>
        </w:rPr>
      </w:pPr>
      <w:r w:rsidRPr="000104AC">
        <w:rPr>
          <w:rFonts w:asciiTheme="majorHAnsi" w:hAnsiTheme="majorHAnsi" w:cstheme="majorHAnsi"/>
          <w:sz w:val="22"/>
          <w:szCs w:val="22"/>
        </w:rPr>
        <w:t>As part of our initiative to better manage and control spending</w:t>
      </w:r>
      <w:r>
        <w:rPr>
          <w:rFonts w:asciiTheme="majorHAnsi" w:hAnsiTheme="majorHAnsi" w:cstheme="majorHAnsi"/>
          <w:sz w:val="22"/>
          <w:szCs w:val="22"/>
        </w:rPr>
        <w:t xml:space="preserve"> on</w:t>
      </w:r>
      <w:r w:rsidRPr="000104AC">
        <w:rPr>
          <w:rFonts w:asciiTheme="majorHAnsi" w:hAnsiTheme="majorHAnsi" w:cstheme="majorHAnsi"/>
          <w:sz w:val="22"/>
          <w:szCs w:val="22"/>
        </w:rPr>
        <w:t xml:space="preserve"> </w:t>
      </w:r>
      <w:r>
        <w:rPr>
          <w:rFonts w:asciiTheme="majorHAnsi" w:hAnsiTheme="majorHAnsi" w:cstheme="majorHAnsi"/>
          <w:sz w:val="22"/>
          <w:szCs w:val="22"/>
        </w:rPr>
        <w:t>our</w:t>
      </w:r>
      <w:r w:rsidRPr="000104AC">
        <w:rPr>
          <w:rFonts w:asciiTheme="majorHAnsi" w:hAnsiTheme="majorHAnsi" w:cstheme="majorHAnsi"/>
          <w:sz w:val="22"/>
          <w:szCs w:val="22"/>
        </w:rPr>
        <w:t xml:space="preserve"> contingent workforce, we are introducing this policy to optimize the sourcing of these services. Our objective is not only to reduce costs but </w:t>
      </w:r>
      <w:r>
        <w:rPr>
          <w:rFonts w:asciiTheme="majorHAnsi" w:hAnsiTheme="majorHAnsi" w:cstheme="majorHAnsi"/>
          <w:sz w:val="22"/>
          <w:szCs w:val="22"/>
        </w:rPr>
        <w:t xml:space="preserve">to </w:t>
      </w:r>
      <w:r w:rsidRPr="000104AC">
        <w:rPr>
          <w:rFonts w:asciiTheme="majorHAnsi" w:hAnsiTheme="majorHAnsi" w:cstheme="majorHAnsi"/>
          <w:sz w:val="22"/>
          <w:szCs w:val="22"/>
        </w:rPr>
        <w:t>boost operational efficiency, and create greater overall value for the company</w:t>
      </w:r>
      <w:r>
        <w:rPr>
          <w:rFonts w:asciiTheme="majorHAnsi" w:hAnsiTheme="majorHAnsi" w:cstheme="majorHAnsi"/>
          <w:sz w:val="22"/>
          <w:szCs w:val="22"/>
        </w:rPr>
        <w:t xml:space="preserve">, by strengthening </w:t>
      </w:r>
      <w:r w:rsidRPr="000104AC">
        <w:rPr>
          <w:rFonts w:asciiTheme="majorHAnsi" w:hAnsiTheme="majorHAnsi" w:cstheme="majorHAnsi"/>
          <w:sz w:val="22"/>
          <w:szCs w:val="22"/>
        </w:rPr>
        <w:t>and standardiz</w:t>
      </w:r>
      <w:r>
        <w:rPr>
          <w:rFonts w:asciiTheme="majorHAnsi" w:hAnsiTheme="majorHAnsi" w:cstheme="majorHAnsi"/>
          <w:sz w:val="22"/>
          <w:szCs w:val="22"/>
        </w:rPr>
        <w:t xml:space="preserve">ing </w:t>
      </w:r>
      <w:r w:rsidRPr="000104AC">
        <w:rPr>
          <w:rFonts w:asciiTheme="majorHAnsi" w:hAnsiTheme="majorHAnsi" w:cstheme="majorHAnsi"/>
          <w:sz w:val="22"/>
          <w:szCs w:val="22"/>
        </w:rPr>
        <w:t>our processes globally. Failure to comply may result in the immediate cancellation of the request or renegotiation of the agreement</w:t>
      </w:r>
      <w:r w:rsidR="00DB4062">
        <w:rPr>
          <w:rFonts w:asciiTheme="majorHAnsi" w:hAnsiTheme="majorHAnsi" w:cstheme="majorHAnsi"/>
          <w:sz w:val="22"/>
          <w:szCs w:val="22"/>
        </w:rPr>
        <w:t>, as permitted by applicable law</w:t>
      </w:r>
      <w:r w:rsidRPr="000104AC">
        <w:rPr>
          <w:rFonts w:asciiTheme="majorHAnsi" w:hAnsiTheme="majorHAnsi" w:cstheme="majorHAnsi"/>
          <w:sz w:val="22"/>
          <w:szCs w:val="22"/>
        </w:rPr>
        <w:t>.</w:t>
      </w:r>
    </w:p>
    <w:p w14:paraId="51C1218A" w14:textId="77777777" w:rsidR="000104AC" w:rsidRPr="00FE762E" w:rsidRDefault="000104AC" w:rsidP="0051357C">
      <w:pPr>
        <w:jc w:val="both"/>
        <w:rPr>
          <w:rFonts w:asciiTheme="majorHAnsi" w:hAnsiTheme="majorHAnsi" w:cstheme="majorHAnsi"/>
          <w:sz w:val="22"/>
          <w:szCs w:val="22"/>
        </w:rPr>
      </w:pPr>
    </w:p>
    <w:p w14:paraId="33D11DFA" w14:textId="51E9E7DC" w:rsidR="0015669C" w:rsidRDefault="0015669C" w:rsidP="0051357C">
      <w:pPr>
        <w:jc w:val="both"/>
        <w:rPr>
          <w:rFonts w:asciiTheme="majorHAnsi" w:hAnsiTheme="majorHAnsi" w:cstheme="majorHAnsi"/>
          <w:sz w:val="22"/>
          <w:szCs w:val="22"/>
        </w:rPr>
      </w:pPr>
      <w:r w:rsidRPr="00FE762E">
        <w:rPr>
          <w:rFonts w:asciiTheme="majorHAnsi" w:hAnsiTheme="majorHAnsi" w:cstheme="majorHAnsi"/>
          <w:sz w:val="22"/>
          <w:szCs w:val="22"/>
        </w:rPr>
        <w:t xml:space="preserve">This document provides a comprehensive framework for managing external workforce engagements across all Brink’s legal entities. It includes key guidelines, such as the use of preferred supplier lists and assignment rules, while also ensuring a clear distinction between contingent workforce (temporary labor and contractors) and output-based hires. </w:t>
      </w:r>
    </w:p>
    <w:p w14:paraId="3DEFC09B" w14:textId="77777777" w:rsidR="00523910" w:rsidRDefault="00523910" w:rsidP="00AD5774">
      <w:pPr>
        <w:jc w:val="both"/>
        <w:rPr>
          <w:rFonts w:asciiTheme="majorHAnsi" w:hAnsiTheme="majorHAnsi" w:cstheme="majorHAnsi"/>
          <w:sz w:val="22"/>
          <w:szCs w:val="22"/>
        </w:rPr>
      </w:pPr>
    </w:p>
    <w:p w14:paraId="126180BB" w14:textId="0FFF2AB2" w:rsidR="00523910" w:rsidRPr="0051357C" w:rsidRDefault="00523910" w:rsidP="00523910">
      <w:pPr>
        <w:pStyle w:val="Heading1"/>
        <w:spacing w:before="240" w:after="240"/>
        <w:rPr>
          <w:rFonts w:cstheme="majorHAnsi"/>
          <w:color w:val="auto"/>
        </w:rPr>
      </w:pPr>
      <w:bookmarkStart w:id="1" w:name="_Toc186790720"/>
      <w:r w:rsidRPr="0051357C">
        <w:rPr>
          <w:rFonts w:cstheme="majorHAnsi"/>
          <w:color w:val="auto"/>
        </w:rPr>
        <w:t>D</w:t>
      </w:r>
      <w:r w:rsidR="008E0A00">
        <w:rPr>
          <w:rFonts w:cstheme="majorHAnsi"/>
          <w:color w:val="auto"/>
        </w:rPr>
        <w:t>EFINITIONS</w:t>
      </w:r>
      <w:bookmarkEnd w:id="1"/>
    </w:p>
    <w:p w14:paraId="7F3AAFCF" w14:textId="1182B6AE" w:rsidR="00EA4CA7" w:rsidRDefault="00EA4CA7" w:rsidP="00D20217">
      <w:pPr>
        <w:pStyle w:val="ListParagraph"/>
        <w:numPr>
          <w:ilvl w:val="0"/>
          <w:numId w:val="6"/>
        </w:numPr>
        <w:jc w:val="both"/>
        <w:rPr>
          <w:rFonts w:asciiTheme="majorHAnsi" w:hAnsiTheme="majorHAnsi" w:cstheme="majorHAnsi"/>
          <w:sz w:val="22"/>
          <w:szCs w:val="22"/>
        </w:rPr>
      </w:pPr>
      <w:r w:rsidRPr="00DE4C10">
        <w:rPr>
          <w:rFonts w:asciiTheme="majorHAnsi" w:hAnsiTheme="majorHAnsi" w:cstheme="majorHAnsi"/>
          <w:b/>
          <w:bCs/>
          <w:sz w:val="22"/>
          <w:szCs w:val="22"/>
          <w:u w:val="single"/>
        </w:rPr>
        <w:t>Co-Employment</w:t>
      </w:r>
      <w:r w:rsidRPr="00EA4CA7">
        <w:rPr>
          <w:rFonts w:asciiTheme="majorHAnsi" w:hAnsiTheme="majorHAnsi" w:cstheme="majorHAnsi"/>
          <w:sz w:val="22"/>
          <w:szCs w:val="22"/>
        </w:rPr>
        <w:t xml:space="preserve">: A legal </w:t>
      </w:r>
      <w:r w:rsidR="00D70A4F">
        <w:rPr>
          <w:rFonts w:asciiTheme="majorHAnsi" w:hAnsiTheme="majorHAnsi" w:cstheme="majorHAnsi"/>
          <w:sz w:val="22"/>
          <w:szCs w:val="22"/>
        </w:rPr>
        <w:t>term</w:t>
      </w:r>
      <w:r w:rsidR="00D70A4F" w:rsidRPr="00EA4CA7">
        <w:rPr>
          <w:rFonts w:asciiTheme="majorHAnsi" w:hAnsiTheme="majorHAnsi" w:cstheme="majorHAnsi"/>
          <w:sz w:val="22"/>
          <w:szCs w:val="22"/>
        </w:rPr>
        <w:t xml:space="preserve"> </w:t>
      </w:r>
      <w:r w:rsidRPr="00EA4CA7">
        <w:rPr>
          <w:rFonts w:asciiTheme="majorHAnsi" w:hAnsiTheme="majorHAnsi" w:cstheme="majorHAnsi"/>
          <w:sz w:val="22"/>
          <w:szCs w:val="22"/>
        </w:rPr>
        <w:t>where both Brink’s and the staffing agency may be considered employers of a contingent worker due to Brink’s involvement in their supervision, salary review, or performance management. This situation can lead to legal claims regarding employee benefits and rights.</w:t>
      </w:r>
    </w:p>
    <w:p w14:paraId="14E33134" w14:textId="4C58ABC9" w:rsidR="00E53EEE" w:rsidRPr="00EA4CA7" w:rsidRDefault="00E53EEE" w:rsidP="00D20217">
      <w:pPr>
        <w:pStyle w:val="ListParagraph"/>
        <w:numPr>
          <w:ilvl w:val="0"/>
          <w:numId w:val="6"/>
        </w:numPr>
        <w:jc w:val="both"/>
        <w:rPr>
          <w:rFonts w:asciiTheme="majorHAnsi" w:hAnsiTheme="majorHAnsi" w:cstheme="majorHAnsi"/>
          <w:sz w:val="22"/>
          <w:szCs w:val="22"/>
        </w:rPr>
      </w:pPr>
      <w:r>
        <w:rPr>
          <w:rFonts w:asciiTheme="majorHAnsi" w:hAnsiTheme="majorHAnsi" w:cstheme="majorHAnsi"/>
          <w:b/>
          <w:bCs/>
          <w:sz w:val="22"/>
          <w:szCs w:val="22"/>
          <w:u w:val="single"/>
        </w:rPr>
        <w:t>Contingent Workforce</w:t>
      </w:r>
      <w:r w:rsidRPr="00A96CF2">
        <w:rPr>
          <w:rFonts w:asciiTheme="majorHAnsi" w:hAnsiTheme="majorHAnsi" w:cstheme="majorHAnsi"/>
          <w:sz w:val="22"/>
          <w:szCs w:val="22"/>
        </w:rPr>
        <w:t>:</w:t>
      </w:r>
      <w:r>
        <w:rPr>
          <w:rFonts w:asciiTheme="majorHAnsi" w:hAnsiTheme="majorHAnsi" w:cstheme="majorHAnsi"/>
          <w:sz w:val="22"/>
          <w:szCs w:val="22"/>
        </w:rPr>
        <w:t xml:space="preserve"> Refers to a group of non-permanent workers employed on a flexible, as-needed basis to meet business needs. These workers include temporary labor provided by staffing companies, independent contractors, freelancers, and other short-term or project-based workers engaged through agreements or contracts also commonly referred to as contingent workers. These workers typically operate under fixed durations or specific statements of work and are compensated on a time-and-material basis, such as hourly or daily rates. </w:t>
      </w:r>
    </w:p>
    <w:p w14:paraId="09778A9E" w14:textId="33001EAD" w:rsidR="00EA4CA7" w:rsidRDefault="00EA4CA7" w:rsidP="00D20217">
      <w:pPr>
        <w:pStyle w:val="ListParagraph"/>
        <w:numPr>
          <w:ilvl w:val="0"/>
          <w:numId w:val="6"/>
        </w:numPr>
        <w:jc w:val="both"/>
        <w:rPr>
          <w:rFonts w:asciiTheme="majorHAnsi" w:hAnsiTheme="majorHAnsi" w:cstheme="majorHAnsi"/>
          <w:sz w:val="22"/>
          <w:szCs w:val="22"/>
        </w:rPr>
      </w:pPr>
      <w:r w:rsidRPr="00DE4C10">
        <w:rPr>
          <w:rFonts w:asciiTheme="majorHAnsi" w:hAnsiTheme="majorHAnsi" w:cstheme="majorHAnsi"/>
          <w:b/>
          <w:bCs/>
          <w:sz w:val="22"/>
          <w:szCs w:val="22"/>
          <w:u w:val="single"/>
        </w:rPr>
        <w:t>Contingent Worker</w:t>
      </w:r>
      <w:r w:rsidRPr="00EA4CA7">
        <w:rPr>
          <w:rFonts w:asciiTheme="majorHAnsi" w:hAnsiTheme="majorHAnsi" w:cstheme="majorHAnsi"/>
          <w:sz w:val="22"/>
          <w:szCs w:val="22"/>
        </w:rPr>
        <w:t xml:space="preserve">: A non-permanent worker </w:t>
      </w:r>
      <w:r w:rsidR="00D80EE5">
        <w:rPr>
          <w:rFonts w:asciiTheme="majorHAnsi" w:hAnsiTheme="majorHAnsi" w:cstheme="majorHAnsi"/>
          <w:sz w:val="22"/>
          <w:szCs w:val="22"/>
        </w:rPr>
        <w:t>typically</w:t>
      </w:r>
      <w:r w:rsidR="00933B66">
        <w:rPr>
          <w:rFonts w:asciiTheme="majorHAnsi" w:hAnsiTheme="majorHAnsi" w:cstheme="majorHAnsi"/>
          <w:sz w:val="22"/>
          <w:szCs w:val="22"/>
        </w:rPr>
        <w:t xml:space="preserve"> </w:t>
      </w:r>
      <w:r w:rsidRPr="00EA4CA7">
        <w:rPr>
          <w:rFonts w:asciiTheme="majorHAnsi" w:hAnsiTheme="majorHAnsi" w:cstheme="majorHAnsi"/>
          <w:sz w:val="22"/>
          <w:szCs w:val="22"/>
        </w:rPr>
        <w:t>engaged through a staffing company for a fixed duration. Contingent workers are paid on a time-and-material basis (e.g., hourly or daily rates).</w:t>
      </w:r>
    </w:p>
    <w:p w14:paraId="332E6E35" w14:textId="0AA3431C" w:rsidR="00A571B1" w:rsidRPr="00EA4CA7" w:rsidRDefault="00A571B1" w:rsidP="00D20217">
      <w:pPr>
        <w:pStyle w:val="ListParagraph"/>
        <w:numPr>
          <w:ilvl w:val="0"/>
          <w:numId w:val="6"/>
        </w:numPr>
        <w:jc w:val="both"/>
        <w:rPr>
          <w:rFonts w:asciiTheme="majorHAnsi" w:hAnsiTheme="majorHAnsi" w:cstheme="majorHAnsi"/>
          <w:sz w:val="22"/>
          <w:szCs w:val="22"/>
        </w:rPr>
      </w:pPr>
      <w:r w:rsidRPr="00B974F6">
        <w:rPr>
          <w:rFonts w:asciiTheme="majorHAnsi" w:hAnsiTheme="majorHAnsi" w:cstheme="majorHAnsi"/>
          <w:b/>
          <w:bCs/>
          <w:sz w:val="22"/>
          <w:szCs w:val="22"/>
          <w:u w:val="single"/>
        </w:rPr>
        <w:t>K</w:t>
      </w:r>
      <w:r w:rsidRPr="00A571B1">
        <w:rPr>
          <w:rFonts w:asciiTheme="majorHAnsi" w:hAnsiTheme="majorHAnsi" w:cstheme="majorHAnsi"/>
          <w:b/>
          <w:bCs/>
          <w:sz w:val="22"/>
          <w:szCs w:val="22"/>
          <w:u w:val="single"/>
        </w:rPr>
        <w:t xml:space="preserve">nowledge </w:t>
      </w:r>
      <w:r w:rsidR="00B974F6">
        <w:rPr>
          <w:rFonts w:asciiTheme="majorHAnsi" w:hAnsiTheme="majorHAnsi" w:cstheme="majorHAnsi"/>
          <w:b/>
          <w:bCs/>
          <w:sz w:val="22"/>
          <w:szCs w:val="22"/>
          <w:u w:val="single"/>
        </w:rPr>
        <w:t>W</w:t>
      </w:r>
      <w:r w:rsidRPr="00A571B1">
        <w:rPr>
          <w:rFonts w:asciiTheme="majorHAnsi" w:hAnsiTheme="majorHAnsi" w:cstheme="majorHAnsi"/>
          <w:b/>
          <w:bCs/>
          <w:sz w:val="22"/>
          <w:szCs w:val="22"/>
          <w:u w:val="single"/>
        </w:rPr>
        <w:t>orker</w:t>
      </w:r>
      <w:r w:rsidRPr="00A571B1">
        <w:rPr>
          <w:rFonts w:asciiTheme="majorHAnsi" w:hAnsiTheme="majorHAnsi" w:cstheme="majorHAnsi"/>
          <w:sz w:val="22"/>
          <w:szCs w:val="22"/>
          <w:u w:val="single"/>
        </w:rPr>
        <w:t>:</w:t>
      </w:r>
      <w:r>
        <w:rPr>
          <w:rFonts w:asciiTheme="majorHAnsi" w:hAnsiTheme="majorHAnsi" w:cstheme="majorHAnsi"/>
          <w:sz w:val="22"/>
          <w:szCs w:val="22"/>
        </w:rPr>
        <w:t xml:space="preserve"> A</w:t>
      </w:r>
      <w:r w:rsidRPr="00A571B1">
        <w:rPr>
          <w:rFonts w:asciiTheme="majorHAnsi" w:hAnsiTheme="majorHAnsi" w:cstheme="majorHAnsi"/>
          <w:sz w:val="22"/>
          <w:szCs w:val="22"/>
        </w:rPr>
        <w:t>n individual whose primary job involves handling or working with information, intellectual capital, and specialized knowledge rather than manual labor.</w:t>
      </w:r>
    </w:p>
    <w:p w14:paraId="4A0D90F6" w14:textId="52B61BFE" w:rsidR="00EA4CA7" w:rsidRPr="00EA4CA7" w:rsidRDefault="00EA4CA7" w:rsidP="00D20217">
      <w:pPr>
        <w:pStyle w:val="ListParagraph"/>
        <w:numPr>
          <w:ilvl w:val="0"/>
          <w:numId w:val="6"/>
        </w:numPr>
        <w:jc w:val="both"/>
        <w:rPr>
          <w:rFonts w:asciiTheme="majorHAnsi" w:hAnsiTheme="majorHAnsi" w:cstheme="majorHAnsi"/>
          <w:sz w:val="22"/>
          <w:szCs w:val="22"/>
        </w:rPr>
      </w:pPr>
      <w:r w:rsidRPr="00DE4C10">
        <w:rPr>
          <w:rFonts w:asciiTheme="majorHAnsi" w:hAnsiTheme="majorHAnsi" w:cstheme="majorHAnsi"/>
          <w:b/>
          <w:bCs/>
          <w:sz w:val="22"/>
          <w:szCs w:val="22"/>
          <w:u w:val="single"/>
        </w:rPr>
        <w:t>Master Service Agreement (MSA):</w:t>
      </w:r>
      <w:r w:rsidRPr="00EA4CA7">
        <w:rPr>
          <w:rFonts w:asciiTheme="majorHAnsi" w:hAnsiTheme="majorHAnsi" w:cstheme="majorHAnsi"/>
          <w:sz w:val="22"/>
          <w:szCs w:val="22"/>
        </w:rPr>
        <w:t xml:space="preserve"> A contract between Brink’s and a supplier outlining general terms for future transactions or agreements, including terms like payment, confidentiality, and dispute resolution.</w:t>
      </w:r>
    </w:p>
    <w:p w14:paraId="78BD1BDB" w14:textId="2C913697" w:rsidR="00575F28" w:rsidRPr="00A571B1" w:rsidRDefault="00EA4CA7" w:rsidP="00D20217">
      <w:pPr>
        <w:pStyle w:val="ListParagraph"/>
        <w:numPr>
          <w:ilvl w:val="0"/>
          <w:numId w:val="6"/>
        </w:numPr>
        <w:jc w:val="both"/>
        <w:rPr>
          <w:rFonts w:asciiTheme="majorHAnsi" w:hAnsiTheme="majorHAnsi" w:cstheme="majorHAnsi"/>
          <w:sz w:val="22"/>
          <w:szCs w:val="22"/>
        </w:rPr>
      </w:pPr>
      <w:r w:rsidRPr="008C3228">
        <w:rPr>
          <w:rFonts w:asciiTheme="majorHAnsi" w:hAnsiTheme="majorHAnsi" w:cstheme="majorHAnsi"/>
          <w:b/>
          <w:bCs/>
          <w:sz w:val="22"/>
          <w:szCs w:val="22"/>
          <w:u w:val="single"/>
        </w:rPr>
        <w:t>Output-Based Hire:</w:t>
      </w:r>
      <w:r w:rsidRPr="00EA4CA7">
        <w:rPr>
          <w:rFonts w:asciiTheme="majorHAnsi" w:hAnsiTheme="majorHAnsi" w:cstheme="majorHAnsi"/>
          <w:sz w:val="22"/>
          <w:szCs w:val="22"/>
        </w:rPr>
        <w:t xml:space="preserve"> Engagements where consultants or firms are hired to deliver a specific output or result, with compensation based on deliverables rather than time worked. These engagements are project-based and focus on strategic advisory or specialized services.</w:t>
      </w:r>
    </w:p>
    <w:p w14:paraId="74E57231" w14:textId="41701192" w:rsidR="00EA4CA7" w:rsidRDefault="00EA4CA7" w:rsidP="00D20217">
      <w:pPr>
        <w:pStyle w:val="ListParagraph"/>
        <w:numPr>
          <w:ilvl w:val="0"/>
          <w:numId w:val="6"/>
        </w:numPr>
        <w:jc w:val="both"/>
        <w:rPr>
          <w:rFonts w:asciiTheme="majorHAnsi" w:hAnsiTheme="majorHAnsi" w:cstheme="majorHAnsi"/>
          <w:sz w:val="22"/>
          <w:szCs w:val="22"/>
        </w:rPr>
      </w:pPr>
      <w:r w:rsidRPr="00C6774A">
        <w:rPr>
          <w:rFonts w:asciiTheme="majorHAnsi" w:hAnsiTheme="majorHAnsi" w:cstheme="majorHAnsi"/>
          <w:b/>
          <w:bCs/>
          <w:sz w:val="22"/>
          <w:szCs w:val="22"/>
          <w:u w:val="single"/>
        </w:rPr>
        <w:t>Preferred Supplier List:</w:t>
      </w:r>
      <w:r w:rsidRPr="00EA4CA7">
        <w:rPr>
          <w:rFonts w:asciiTheme="majorHAnsi" w:hAnsiTheme="majorHAnsi" w:cstheme="majorHAnsi"/>
          <w:sz w:val="22"/>
          <w:szCs w:val="22"/>
        </w:rPr>
        <w:t xml:space="preserve"> A pre-approved list of vendors with existing global or regional contracts offering competitive pricing and discount structures. These suppliers are the exclusive providers for contingent workforce services, except in circumstances outlined in this policy.</w:t>
      </w:r>
    </w:p>
    <w:p w14:paraId="449F05BE" w14:textId="50A46D5A" w:rsidR="0087459C" w:rsidRPr="00EA4CA7" w:rsidRDefault="0087459C" w:rsidP="00D20217">
      <w:pPr>
        <w:pStyle w:val="ListParagraph"/>
        <w:numPr>
          <w:ilvl w:val="0"/>
          <w:numId w:val="6"/>
        </w:numPr>
        <w:jc w:val="both"/>
        <w:rPr>
          <w:rFonts w:asciiTheme="majorHAnsi" w:hAnsiTheme="majorHAnsi" w:cstheme="majorHAnsi"/>
          <w:sz w:val="22"/>
          <w:szCs w:val="22"/>
        </w:rPr>
      </w:pPr>
      <w:r w:rsidRPr="0087459C">
        <w:rPr>
          <w:rFonts w:asciiTheme="majorHAnsi" w:hAnsiTheme="majorHAnsi" w:cstheme="majorHAnsi"/>
          <w:b/>
          <w:bCs/>
          <w:sz w:val="22"/>
          <w:szCs w:val="22"/>
          <w:u w:val="single"/>
        </w:rPr>
        <w:t>RFx</w:t>
      </w:r>
      <w:r w:rsidRPr="0087459C">
        <w:rPr>
          <w:rFonts w:asciiTheme="majorHAnsi" w:hAnsiTheme="majorHAnsi" w:cstheme="majorHAnsi"/>
          <w:sz w:val="22"/>
          <w:szCs w:val="22"/>
        </w:rPr>
        <w:t xml:space="preserve"> is a general term used to refer to various </w:t>
      </w:r>
      <w:r>
        <w:rPr>
          <w:rFonts w:asciiTheme="majorHAnsi" w:hAnsiTheme="majorHAnsi" w:cstheme="majorHAnsi"/>
          <w:sz w:val="22"/>
          <w:szCs w:val="22"/>
        </w:rPr>
        <w:t>“</w:t>
      </w:r>
      <w:r w:rsidRPr="0087459C">
        <w:rPr>
          <w:rFonts w:asciiTheme="majorHAnsi" w:hAnsiTheme="majorHAnsi" w:cstheme="majorHAnsi"/>
          <w:sz w:val="22"/>
          <w:szCs w:val="22"/>
        </w:rPr>
        <w:t>Request For</w:t>
      </w:r>
      <w:r>
        <w:rPr>
          <w:rFonts w:asciiTheme="majorHAnsi" w:hAnsiTheme="majorHAnsi" w:cstheme="majorHAnsi"/>
          <w:sz w:val="22"/>
          <w:szCs w:val="22"/>
        </w:rPr>
        <w:t>” strategic sour</w:t>
      </w:r>
      <w:r w:rsidR="00D42CE3">
        <w:rPr>
          <w:rFonts w:asciiTheme="majorHAnsi" w:hAnsiTheme="majorHAnsi" w:cstheme="majorHAnsi"/>
          <w:sz w:val="22"/>
          <w:szCs w:val="22"/>
        </w:rPr>
        <w:t>cing</w:t>
      </w:r>
      <w:r w:rsidRPr="0087459C">
        <w:rPr>
          <w:rFonts w:asciiTheme="majorHAnsi" w:hAnsiTheme="majorHAnsi" w:cstheme="majorHAnsi"/>
          <w:sz w:val="22"/>
          <w:szCs w:val="22"/>
        </w:rPr>
        <w:t xml:space="preserve"> processes that organizations use to solicit information, proposals, or quotes from suppliers or vendors. </w:t>
      </w:r>
    </w:p>
    <w:p w14:paraId="215AB019" w14:textId="24805EF3" w:rsidR="00EA4CA7" w:rsidRPr="00EA4CA7" w:rsidRDefault="00EA4CA7" w:rsidP="00D20217">
      <w:pPr>
        <w:pStyle w:val="ListParagraph"/>
        <w:numPr>
          <w:ilvl w:val="0"/>
          <w:numId w:val="6"/>
        </w:numPr>
        <w:jc w:val="both"/>
        <w:rPr>
          <w:rFonts w:asciiTheme="majorHAnsi" w:hAnsiTheme="majorHAnsi" w:cstheme="majorHAnsi"/>
          <w:sz w:val="22"/>
          <w:szCs w:val="22"/>
        </w:rPr>
      </w:pPr>
      <w:r w:rsidRPr="00C6774A">
        <w:rPr>
          <w:rFonts w:asciiTheme="majorHAnsi" w:hAnsiTheme="majorHAnsi" w:cstheme="majorHAnsi"/>
          <w:b/>
          <w:bCs/>
          <w:sz w:val="22"/>
          <w:szCs w:val="22"/>
          <w:u w:val="single"/>
        </w:rPr>
        <w:t>Statement of Work (SOW):</w:t>
      </w:r>
      <w:r w:rsidRPr="00EA4CA7">
        <w:rPr>
          <w:rFonts w:asciiTheme="majorHAnsi" w:hAnsiTheme="majorHAnsi" w:cstheme="majorHAnsi"/>
          <w:sz w:val="22"/>
          <w:szCs w:val="22"/>
        </w:rPr>
        <w:t xml:space="preserve"> A sub-agreement to the MSA that details the specific services, deliverables, timelines, and pricing for a given project or engagement.</w:t>
      </w:r>
    </w:p>
    <w:p w14:paraId="2F2270F2" w14:textId="4799027F" w:rsidR="00EA4CA7" w:rsidRDefault="00EA4CA7" w:rsidP="00D20217">
      <w:pPr>
        <w:pStyle w:val="ListParagraph"/>
        <w:numPr>
          <w:ilvl w:val="0"/>
          <w:numId w:val="6"/>
        </w:numPr>
        <w:jc w:val="both"/>
        <w:rPr>
          <w:rFonts w:asciiTheme="majorHAnsi" w:hAnsiTheme="majorHAnsi" w:cstheme="majorHAnsi"/>
          <w:sz w:val="22"/>
          <w:szCs w:val="22"/>
        </w:rPr>
      </w:pPr>
      <w:r w:rsidRPr="00C6774A">
        <w:rPr>
          <w:rFonts w:asciiTheme="majorHAnsi" w:hAnsiTheme="majorHAnsi" w:cstheme="majorHAnsi"/>
          <w:b/>
          <w:bCs/>
          <w:sz w:val="22"/>
          <w:szCs w:val="22"/>
          <w:u w:val="single"/>
        </w:rPr>
        <w:t>Supplier/Vendor:</w:t>
      </w:r>
      <w:r w:rsidRPr="00EA4CA7">
        <w:rPr>
          <w:rFonts w:asciiTheme="majorHAnsi" w:hAnsiTheme="majorHAnsi" w:cstheme="majorHAnsi"/>
          <w:sz w:val="22"/>
          <w:szCs w:val="22"/>
        </w:rPr>
        <w:t xml:space="preserve"> A third-party entity contracted to provide goods or services to Brink’s, such as staffing companies or service providers for contingent workforce or project-based services.</w:t>
      </w:r>
    </w:p>
    <w:p w14:paraId="59172601" w14:textId="4C67D6EF" w:rsidR="004E78F9" w:rsidRPr="004E78F9" w:rsidRDefault="00C6774A" w:rsidP="3F806670">
      <w:pPr>
        <w:pStyle w:val="ListParagraph"/>
        <w:numPr>
          <w:ilvl w:val="0"/>
          <w:numId w:val="6"/>
        </w:numPr>
        <w:jc w:val="both"/>
        <w:rPr>
          <w:rFonts w:asciiTheme="majorHAnsi" w:hAnsiTheme="majorHAnsi" w:cstheme="majorBidi"/>
          <w:sz w:val="22"/>
          <w:szCs w:val="22"/>
        </w:rPr>
      </w:pPr>
      <w:r w:rsidRPr="3F806670">
        <w:rPr>
          <w:rFonts w:asciiTheme="majorHAnsi" w:hAnsiTheme="majorHAnsi" w:cstheme="majorBidi"/>
          <w:b/>
          <w:bCs/>
          <w:sz w:val="22"/>
          <w:szCs w:val="22"/>
          <w:u w:val="single"/>
        </w:rPr>
        <w:t>Time-and-material hire</w:t>
      </w:r>
      <w:r w:rsidRPr="3F806670">
        <w:rPr>
          <w:rFonts w:asciiTheme="majorHAnsi" w:hAnsiTheme="majorHAnsi" w:cstheme="majorBidi"/>
          <w:sz w:val="22"/>
          <w:szCs w:val="22"/>
        </w:rPr>
        <w:t xml:space="preserve"> refers to a type of employment or contractual arrangement where the worker is paid based on the amount of time they spend working (e.g., hourly or daily rates) and the materials or resources used to complete the work. This model is commonly used for contingent workers, freelancers, and contractors who are hired for short-term assignments or projects.</w:t>
      </w:r>
    </w:p>
    <w:p w14:paraId="6B2BC5A7" w14:textId="6D12EE33" w:rsidR="009B1A09" w:rsidRPr="008E0A00" w:rsidRDefault="001606B6" w:rsidP="00AD5774">
      <w:pPr>
        <w:pStyle w:val="Heading1"/>
        <w:jc w:val="both"/>
        <w:rPr>
          <w:rFonts w:cstheme="majorHAnsi"/>
          <w:color w:val="auto"/>
        </w:rPr>
      </w:pPr>
      <w:bookmarkStart w:id="2" w:name="_Toc186790721"/>
      <w:r w:rsidRPr="008E0A00">
        <w:rPr>
          <w:rFonts w:cstheme="majorHAnsi"/>
          <w:color w:val="auto"/>
        </w:rPr>
        <w:t>S</w:t>
      </w:r>
      <w:r w:rsidR="008E0A00" w:rsidRPr="008E0A00">
        <w:rPr>
          <w:rFonts w:cstheme="majorHAnsi"/>
          <w:color w:val="auto"/>
        </w:rPr>
        <w:t>COPE</w:t>
      </w:r>
      <w:bookmarkEnd w:id="2"/>
      <w:r w:rsidRPr="008E0A00">
        <w:rPr>
          <w:rFonts w:cstheme="majorHAnsi"/>
          <w:color w:val="auto"/>
        </w:rPr>
        <w:t xml:space="preserve"> </w:t>
      </w:r>
    </w:p>
    <w:p w14:paraId="1A8AFD95" w14:textId="0EF8622B" w:rsidR="001606B6" w:rsidRPr="0074239A" w:rsidRDefault="006C341A" w:rsidP="00C77AB5">
      <w:pPr>
        <w:pStyle w:val="Heading2"/>
        <w:ind w:left="360"/>
        <w:rPr>
          <w:rFonts w:cstheme="majorHAnsi"/>
          <w:color w:val="auto"/>
          <w:sz w:val="22"/>
          <w:szCs w:val="22"/>
        </w:rPr>
      </w:pPr>
      <w:bookmarkStart w:id="3" w:name="_Toc186790722"/>
      <w:r w:rsidRPr="0074239A">
        <w:rPr>
          <w:rFonts w:cstheme="majorHAnsi"/>
          <w:color w:val="auto"/>
          <w:sz w:val="22"/>
          <w:szCs w:val="22"/>
        </w:rPr>
        <w:t>Geographical Scope</w:t>
      </w:r>
      <w:bookmarkEnd w:id="3"/>
    </w:p>
    <w:p w14:paraId="7897D0A5" w14:textId="77777777" w:rsidR="001606B6" w:rsidRPr="0074239A" w:rsidRDefault="001606B6" w:rsidP="001606B6">
      <w:pPr>
        <w:ind w:left="360"/>
        <w:rPr>
          <w:rFonts w:asciiTheme="majorHAnsi" w:hAnsiTheme="majorHAnsi" w:cstheme="majorHAnsi"/>
          <w:sz w:val="22"/>
          <w:szCs w:val="22"/>
        </w:rPr>
      </w:pPr>
    </w:p>
    <w:p w14:paraId="797B7075" w14:textId="6C5C4C8B" w:rsidR="00F94E8C" w:rsidRDefault="00F94E8C" w:rsidP="00355B9F">
      <w:pPr>
        <w:rPr>
          <w:rFonts w:asciiTheme="majorHAnsi" w:hAnsiTheme="majorHAnsi" w:cstheme="majorHAnsi"/>
          <w:sz w:val="22"/>
          <w:szCs w:val="22"/>
        </w:rPr>
      </w:pPr>
      <w:r w:rsidRPr="0074239A">
        <w:rPr>
          <w:rFonts w:asciiTheme="majorHAnsi" w:hAnsiTheme="majorHAnsi" w:cstheme="majorHAnsi"/>
          <w:sz w:val="22"/>
          <w:szCs w:val="22"/>
        </w:rPr>
        <w:t xml:space="preserve">This Policy and guideline </w:t>
      </w:r>
      <w:r w:rsidR="00497784" w:rsidRPr="0074239A">
        <w:rPr>
          <w:rFonts w:asciiTheme="majorHAnsi" w:hAnsiTheme="majorHAnsi" w:cstheme="majorHAnsi"/>
          <w:sz w:val="22"/>
          <w:szCs w:val="22"/>
        </w:rPr>
        <w:t>apply</w:t>
      </w:r>
      <w:r w:rsidRPr="0074239A">
        <w:rPr>
          <w:rFonts w:asciiTheme="majorHAnsi" w:hAnsiTheme="majorHAnsi" w:cstheme="majorHAnsi"/>
          <w:sz w:val="22"/>
          <w:szCs w:val="22"/>
        </w:rPr>
        <w:t xml:space="preserve"> to all </w:t>
      </w:r>
      <w:r w:rsidR="002A7F64" w:rsidRPr="0074239A">
        <w:rPr>
          <w:rFonts w:asciiTheme="majorHAnsi" w:hAnsiTheme="majorHAnsi" w:cstheme="majorHAnsi"/>
          <w:sz w:val="22"/>
          <w:szCs w:val="22"/>
        </w:rPr>
        <w:t>Brink’s</w:t>
      </w:r>
      <w:r w:rsidRPr="0074239A">
        <w:rPr>
          <w:rFonts w:asciiTheme="majorHAnsi" w:hAnsiTheme="majorHAnsi" w:cstheme="majorHAnsi"/>
          <w:sz w:val="22"/>
          <w:szCs w:val="22"/>
        </w:rPr>
        <w:t xml:space="preserve"> entities </w:t>
      </w:r>
      <w:r w:rsidR="002A0F0C" w:rsidRPr="0074239A">
        <w:rPr>
          <w:rFonts w:asciiTheme="majorHAnsi" w:hAnsiTheme="majorHAnsi" w:cstheme="majorHAnsi"/>
          <w:sz w:val="22"/>
          <w:szCs w:val="22"/>
        </w:rPr>
        <w:t>globally</w:t>
      </w:r>
      <w:r w:rsidRPr="0074239A">
        <w:rPr>
          <w:rFonts w:asciiTheme="majorHAnsi" w:hAnsiTheme="majorHAnsi" w:cstheme="majorHAnsi"/>
          <w:sz w:val="22"/>
          <w:szCs w:val="22"/>
        </w:rPr>
        <w:t xml:space="preserve"> and their associated procurement activities related to </w:t>
      </w:r>
      <w:r w:rsidR="008E0A00">
        <w:rPr>
          <w:rFonts w:asciiTheme="majorHAnsi" w:hAnsiTheme="majorHAnsi" w:cstheme="majorHAnsi"/>
          <w:sz w:val="22"/>
          <w:szCs w:val="22"/>
        </w:rPr>
        <w:t>contingent workforce.</w:t>
      </w:r>
    </w:p>
    <w:p w14:paraId="0F56BABF" w14:textId="77777777" w:rsidR="00484EE0" w:rsidRDefault="00484EE0" w:rsidP="00355B9F">
      <w:pPr>
        <w:rPr>
          <w:rFonts w:asciiTheme="majorHAnsi" w:hAnsiTheme="majorHAnsi" w:cstheme="majorHAnsi"/>
          <w:sz w:val="22"/>
          <w:szCs w:val="22"/>
        </w:rPr>
      </w:pPr>
    </w:p>
    <w:p w14:paraId="3174E492" w14:textId="3347723C" w:rsidR="00484EE0" w:rsidRPr="0051357C" w:rsidRDefault="00493EF2" w:rsidP="00484EE0">
      <w:pPr>
        <w:pStyle w:val="Heading2"/>
        <w:ind w:left="360"/>
        <w:rPr>
          <w:rFonts w:cstheme="majorHAnsi"/>
          <w:color w:val="auto"/>
          <w:sz w:val="22"/>
          <w:szCs w:val="22"/>
        </w:rPr>
      </w:pPr>
      <w:bookmarkStart w:id="4" w:name="_Toc186790723"/>
      <w:r>
        <w:rPr>
          <w:rFonts w:cstheme="majorHAnsi"/>
          <w:color w:val="auto"/>
          <w:sz w:val="22"/>
          <w:szCs w:val="22"/>
        </w:rPr>
        <w:t>Roles i</w:t>
      </w:r>
      <w:r w:rsidR="002C33BB" w:rsidRPr="0051357C">
        <w:rPr>
          <w:rFonts w:cstheme="majorHAnsi"/>
          <w:color w:val="auto"/>
          <w:sz w:val="22"/>
          <w:szCs w:val="22"/>
        </w:rPr>
        <w:t>n scope for policy</w:t>
      </w:r>
      <w:bookmarkEnd w:id="4"/>
    </w:p>
    <w:p w14:paraId="17882FD4" w14:textId="14269B76" w:rsidR="000B581D" w:rsidRPr="00F413DF" w:rsidRDefault="00B76DE1" w:rsidP="00F413DF">
      <w:pPr>
        <w:pStyle w:val="Heading3"/>
        <w:numPr>
          <w:ilvl w:val="0"/>
          <w:numId w:val="0"/>
        </w:numPr>
        <w:rPr>
          <w:i/>
          <w:iCs/>
          <w:color w:val="auto"/>
          <w:sz w:val="22"/>
          <w:szCs w:val="22"/>
        </w:rPr>
      </w:pPr>
      <w:bookmarkStart w:id="5" w:name="_Toc64992937"/>
      <w:bookmarkStart w:id="6" w:name="_Toc186790724"/>
      <w:r w:rsidRPr="00F413DF">
        <w:rPr>
          <w:rStyle w:val="BodyTextChar"/>
          <w:rFonts w:asciiTheme="majorHAnsi" w:eastAsiaTheme="majorEastAsia" w:hAnsiTheme="majorHAnsi" w:cstheme="majorBidi"/>
          <w:i/>
          <w:iCs/>
          <w:color w:val="auto"/>
          <w:szCs w:val="22"/>
        </w:rPr>
        <w:t>Contingent</w:t>
      </w:r>
      <w:r w:rsidR="000B581D" w:rsidRPr="00F413DF">
        <w:rPr>
          <w:rStyle w:val="BodyTextChar"/>
          <w:rFonts w:asciiTheme="majorHAnsi" w:eastAsiaTheme="majorEastAsia" w:hAnsiTheme="majorHAnsi" w:cstheme="majorBidi"/>
          <w:i/>
          <w:iCs/>
          <w:color w:val="auto"/>
          <w:szCs w:val="22"/>
        </w:rPr>
        <w:t xml:space="preserve"> Workforce</w:t>
      </w:r>
      <w:bookmarkEnd w:id="5"/>
      <w:bookmarkEnd w:id="6"/>
    </w:p>
    <w:p w14:paraId="7EBFA68A" w14:textId="77777777" w:rsidR="0004799F" w:rsidRPr="0051357C" w:rsidRDefault="0004799F" w:rsidP="000B581D">
      <w:pPr>
        <w:pStyle w:val="NoSpacing"/>
        <w:jc w:val="both"/>
        <w:rPr>
          <w:rFonts w:asciiTheme="majorHAnsi" w:hAnsiTheme="majorHAnsi" w:cstheme="majorHAnsi"/>
          <w:bCs/>
          <w:u w:val="single"/>
          <w:lang w:eastAsia="nl-NL" w:bidi="nl-NL"/>
        </w:rPr>
      </w:pPr>
    </w:p>
    <w:p w14:paraId="7F66A13A" w14:textId="5EA6F7DE" w:rsidR="003E3331" w:rsidRDefault="6B3824FD" w:rsidP="6B3824FD">
      <w:pPr>
        <w:pStyle w:val="NoSpacing"/>
        <w:rPr>
          <w:rFonts w:asciiTheme="majorHAnsi" w:hAnsiTheme="majorHAnsi" w:cstheme="majorBidi"/>
          <w:lang w:eastAsia="nl-NL" w:bidi="nl-NL"/>
        </w:rPr>
      </w:pPr>
      <w:r w:rsidRPr="6B3824FD">
        <w:rPr>
          <w:rFonts w:asciiTheme="majorHAnsi" w:hAnsiTheme="majorHAnsi" w:cstheme="majorBidi"/>
          <w:u w:val="single"/>
          <w:lang w:eastAsia="nl-NL" w:bidi="nl-NL"/>
        </w:rPr>
        <w:t xml:space="preserve">Temporary </w:t>
      </w:r>
      <w:r w:rsidR="000E7A75">
        <w:rPr>
          <w:rFonts w:asciiTheme="majorHAnsi" w:hAnsiTheme="majorHAnsi" w:cstheme="majorBidi"/>
          <w:u w:val="single"/>
          <w:lang w:eastAsia="nl-NL" w:bidi="nl-NL"/>
        </w:rPr>
        <w:t>Worker</w:t>
      </w:r>
      <w:r w:rsidR="005B6160">
        <w:br/>
      </w:r>
      <w:r w:rsidRPr="6B3824FD">
        <w:rPr>
          <w:rFonts w:asciiTheme="majorHAnsi" w:hAnsiTheme="majorHAnsi" w:cstheme="majorBidi"/>
          <w:lang w:eastAsia="nl-NL" w:bidi="nl-NL"/>
        </w:rPr>
        <w:t xml:space="preserve">An employee of a staffing company who is recruited, screened, and sometimes trained by the staffing company to perform work for an organization with the expectation that the work will be for a fixed duration. Includes workers with the skills, knowledge, and training required for occupations in light industrial, office/clerical, general labor, accounting, and finance, legal, marketing, and creative, engineering, technology, research and development, human resources, and any other similar services. </w:t>
      </w:r>
    </w:p>
    <w:p w14:paraId="035D9BC6" w14:textId="44E075AF" w:rsidR="000B581D" w:rsidRDefault="005B6160" w:rsidP="6B3824FD">
      <w:pPr>
        <w:pStyle w:val="NoSpacing"/>
        <w:jc w:val="both"/>
        <w:rPr>
          <w:rFonts w:asciiTheme="majorHAnsi" w:hAnsiTheme="majorHAnsi" w:cstheme="majorBidi"/>
          <w:lang w:eastAsia="nl-NL" w:bidi="nl-NL"/>
        </w:rPr>
      </w:pPr>
      <w:r>
        <w:br/>
      </w:r>
      <w:r w:rsidR="6B3824FD" w:rsidRPr="6B3824FD">
        <w:rPr>
          <w:rFonts w:asciiTheme="majorHAnsi" w:hAnsiTheme="majorHAnsi" w:cstheme="majorBidi"/>
          <w:u w:val="single"/>
          <w:lang w:eastAsia="nl-NL" w:bidi="nl-NL"/>
        </w:rPr>
        <w:t>Contractor</w:t>
      </w:r>
      <w:r>
        <w:br/>
      </w:r>
      <w:r w:rsidR="6B3824FD" w:rsidRPr="6B3824FD">
        <w:rPr>
          <w:rFonts w:asciiTheme="majorHAnsi" w:hAnsiTheme="majorHAnsi" w:cstheme="majorBidi"/>
          <w:lang w:eastAsia="nl-NL" w:bidi="nl-NL"/>
        </w:rPr>
        <w:t xml:space="preserve">An individual retained to deliver a specified service as laid out in a contract and/or statement of work. Includes self-employed individuals, freelancers, and individuals who perform short-term jobs that are unaffiliated with a particular employer organization, although they may be affiliated with one or more staffing companies. </w:t>
      </w:r>
      <w:r w:rsidR="00A45D06">
        <w:rPr>
          <w:rFonts w:asciiTheme="majorHAnsi" w:hAnsiTheme="majorHAnsi" w:cstheme="majorBidi"/>
          <w:lang w:eastAsia="nl-NL" w:bidi="nl-NL"/>
        </w:rPr>
        <w:t>Further defined in table below.</w:t>
      </w:r>
    </w:p>
    <w:p w14:paraId="4DE9DCE7" w14:textId="77777777" w:rsidR="00066940" w:rsidRPr="0051357C" w:rsidRDefault="00066940" w:rsidP="00DF7BCC">
      <w:pPr>
        <w:pStyle w:val="NoSpacing"/>
        <w:jc w:val="both"/>
        <w:rPr>
          <w:rFonts w:asciiTheme="majorHAnsi" w:hAnsiTheme="majorHAnsi" w:cstheme="majorHAnsi"/>
          <w:lang w:eastAsia="nl-NL" w:bidi="nl-NL"/>
        </w:rPr>
      </w:pPr>
    </w:p>
    <w:p w14:paraId="2A3A77CF" w14:textId="0EE27509" w:rsidR="004E3658" w:rsidRPr="0051357C" w:rsidRDefault="004A5882" w:rsidP="0051357C">
      <w:pPr>
        <w:pStyle w:val="Heading2"/>
        <w:ind w:left="360"/>
        <w:jc w:val="both"/>
        <w:rPr>
          <w:rFonts w:cstheme="majorHAnsi"/>
          <w:sz w:val="22"/>
          <w:szCs w:val="22"/>
          <w:lang w:eastAsia="nl-NL" w:bidi="nl-NL"/>
        </w:rPr>
      </w:pPr>
      <w:r>
        <w:rPr>
          <w:rFonts w:cstheme="majorHAnsi"/>
          <w:color w:val="auto"/>
          <w:sz w:val="22"/>
          <w:szCs w:val="22"/>
        </w:rPr>
        <w:t xml:space="preserve"> </w:t>
      </w:r>
      <w:bookmarkStart w:id="7" w:name="_Toc186790725"/>
      <w:r w:rsidR="00493EF2">
        <w:rPr>
          <w:rFonts w:cstheme="majorHAnsi"/>
          <w:color w:val="auto"/>
          <w:sz w:val="22"/>
          <w:szCs w:val="22"/>
        </w:rPr>
        <w:t>Roles o</w:t>
      </w:r>
      <w:r w:rsidR="000B581D" w:rsidRPr="0051357C">
        <w:rPr>
          <w:rFonts w:cstheme="majorHAnsi"/>
          <w:color w:val="auto"/>
          <w:sz w:val="22"/>
          <w:szCs w:val="22"/>
        </w:rPr>
        <w:t>ut of scope for policy</w:t>
      </w:r>
      <w:bookmarkEnd w:id="7"/>
    </w:p>
    <w:p w14:paraId="2335D1FC" w14:textId="28D3305C" w:rsidR="004E3658" w:rsidRPr="0051357C" w:rsidRDefault="00B14894" w:rsidP="0051357C">
      <w:pPr>
        <w:pStyle w:val="Heading3"/>
        <w:numPr>
          <w:ilvl w:val="0"/>
          <w:numId w:val="0"/>
        </w:numPr>
        <w:jc w:val="both"/>
        <w:rPr>
          <w:rFonts w:cstheme="majorHAnsi"/>
          <w:i/>
          <w:iCs/>
          <w:color w:val="auto"/>
          <w:sz w:val="22"/>
          <w:szCs w:val="22"/>
        </w:rPr>
      </w:pPr>
      <w:bookmarkStart w:id="8" w:name="_Toc64992939"/>
      <w:bookmarkStart w:id="9" w:name="_Toc186790726"/>
      <w:r w:rsidRPr="0051357C">
        <w:rPr>
          <w:rFonts w:cstheme="majorHAnsi"/>
          <w:i/>
          <w:iCs/>
          <w:color w:val="auto"/>
          <w:sz w:val="22"/>
          <w:szCs w:val="22"/>
        </w:rPr>
        <w:t>Brink’s employees</w:t>
      </w:r>
      <w:bookmarkEnd w:id="8"/>
      <w:bookmarkEnd w:id="9"/>
    </w:p>
    <w:p w14:paraId="0BF76315" w14:textId="467FE480" w:rsidR="004E3658" w:rsidRPr="0051357C" w:rsidRDefault="004E3658" w:rsidP="0051357C">
      <w:pPr>
        <w:pStyle w:val="NoSpacing"/>
        <w:jc w:val="both"/>
      </w:pPr>
      <w:r w:rsidRPr="0051357C">
        <w:rPr>
          <w:rFonts w:asciiTheme="majorHAnsi" w:hAnsiTheme="majorHAnsi" w:cstheme="majorHAnsi"/>
        </w:rPr>
        <w:t>Permanent</w:t>
      </w:r>
      <w:r w:rsidRPr="0051357C" w:rsidDel="00B14894">
        <w:rPr>
          <w:rFonts w:asciiTheme="majorHAnsi" w:hAnsiTheme="majorHAnsi" w:cstheme="majorHAnsi"/>
        </w:rPr>
        <w:t xml:space="preserve"> </w:t>
      </w:r>
      <w:r w:rsidR="003A3DE7" w:rsidRPr="00B14894">
        <w:rPr>
          <w:rFonts w:asciiTheme="majorHAnsi" w:hAnsiTheme="majorHAnsi" w:cstheme="majorHAnsi"/>
        </w:rPr>
        <w:t>or temporary</w:t>
      </w:r>
      <w:r w:rsidR="003A3DE7">
        <w:rPr>
          <w:rFonts w:asciiTheme="majorHAnsi" w:hAnsiTheme="majorHAnsi" w:cstheme="majorHAnsi"/>
        </w:rPr>
        <w:t xml:space="preserve"> employees </w:t>
      </w:r>
      <w:r w:rsidRPr="006B7893">
        <w:rPr>
          <w:rFonts w:asciiTheme="majorHAnsi" w:hAnsiTheme="majorHAnsi" w:cstheme="majorHAnsi"/>
        </w:rPr>
        <w:t xml:space="preserve">paid directly by </w:t>
      </w:r>
      <w:r w:rsidR="00F7542D">
        <w:rPr>
          <w:rFonts w:asciiTheme="majorHAnsi" w:hAnsiTheme="majorHAnsi" w:cstheme="majorHAnsi"/>
        </w:rPr>
        <w:t>Brink’s</w:t>
      </w:r>
      <w:r w:rsidR="00DF7BCC">
        <w:rPr>
          <w:rFonts w:asciiTheme="majorHAnsi" w:hAnsiTheme="majorHAnsi" w:cstheme="majorHAnsi"/>
        </w:rPr>
        <w:t xml:space="preserve"> (on Brink’s payroll)</w:t>
      </w:r>
      <w:r w:rsidRPr="006B7893">
        <w:rPr>
          <w:rFonts w:asciiTheme="majorHAnsi" w:hAnsiTheme="majorHAnsi" w:cstheme="majorHAnsi"/>
        </w:rPr>
        <w:t xml:space="preserve">. </w:t>
      </w:r>
      <w:r w:rsidR="0041224D" w:rsidRPr="006B7893">
        <w:rPr>
          <w:rFonts w:asciiTheme="majorHAnsi" w:hAnsiTheme="majorHAnsi" w:cstheme="majorHAnsi"/>
        </w:rPr>
        <w:t>They</w:t>
      </w:r>
      <w:r w:rsidRPr="006B7893">
        <w:rPr>
          <w:rFonts w:asciiTheme="majorHAnsi" w:hAnsiTheme="majorHAnsi" w:cstheme="majorHAnsi"/>
        </w:rPr>
        <w:t xml:space="preserve"> do not have a predetermined end date to employment except for some short-term employees who are paid via </w:t>
      </w:r>
      <w:r w:rsidR="006357DC" w:rsidRPr="006B7893">
        <w:rPr>
          <w:rFonts w:asciiTheme="majorHAnsi" w:hAnsiTheme="majorHAnsi" w:cstheme="majorHAnsi"/>
        </w:rPr>
        <w:t>Brink’s</w:t>
      </w:r>
      <w:r w:rsidRPr="006B7893">
        <w:rPr>
          <w:rFonts w:asciiTheme="majorHAnsi" w:hAnsiTheme="majorHAnsi" w:cstheme="majorHAnsi"/>
        </w:rPr>
        <w:t xml:space="preserve"> Payroll. In addition to their wages, they often receive benefits like subsidized health care, paid vacations, holidays, sick time, or contributions to a retirement plan. Please note that </w:t>
      </w:r>
      <w:proofErr w:type="gramStart"/>
      <w:r w:rsidRPr="006B7893">
        <w:rPr>
          <w:rFonts w:asciiTheme="majorHAnsi" w:hAnsiTheme="majorHAnsi" w:cstheme="majorHAnsi"/>
          <w:i/>
        </w:rPr>
        <w:t>permanent</w:t>
      </w:r>
      <w:proofErr w:type="gramEnd"/>
      <w:r w:rsidR="00C46308">
        <w:rPr>
          <w:rFonts w:asciiTheme="majorHAnsi" w:hAnsiTheme="majorHAnsi" w:cstheme="majorHAnsi"/>
          <w:i/>
        </w:rPr>
        <w:t xml:space="preserve"> and temporary</w:t>
      </w:r>
      <w:r w:rsidRPr="006B7893">
        <w:rPr>
          <w:rFonts w:asciiTheme="majorHAnsi" w:hAnsiTheme="majorHAnsi" w:cstheme="majorHAnsi"/>
          <w:i/>
        </w:rPr>
        <w:t xml:space="preserve"> workforce</w:t>
      </w:r>
      <w:r w:rsidRPr="006B7893">
        <w:rPr>
          <w:rFonts w:asciiTheme="majorHAnsi" w:hAnsiTheme="majorHAnsi" w:cstheme="majorHAnsi"/>
        </w:rPr>
        <w:t xml:space="preserve"> includes both a </w:t>
      </w:r>
      <w:r w:rsidRPr="006B7893">
        <w:rPr>
          <w:rFonts w:asciiTheme="majorHAnsi" w:hAnsiTheme="majorHAnsi" w:cstheme="majorHAnsi"/>
          <w:i/>
        </w:rPr>
        <w:t>full-time employee (FTE)</w:t>
      </w:r>
      <w:r w:rsidRPr="006B7893">
        <w:rPr>
          <w:rFonts w:asciiTheme="majorHAnsi" w:hAnsiTheme="majorHAnsi" w:cstheme="majorHAnsi"/>
        </w:rPr>
        <w:t xml:space="preserve"> and </w:t>
      </w:r>
      <w:r w:rsidR="00681A52">
        <w:rPr>
          <w:rFonts w:asciiTheme="majorHAnsi" w:hAnsiTheme="majorHAnsi" w:cstheme="majorHAnsi"/>
        </w:rPr>
        <w:t>employees</w:t>
      </w:r>
      <w:r w:rsidR="00681A52" w:rsidRPr="006B7893">
        <w:rPr>
          <w:rFonts w:asciiTheme="majorHAnsi" w:hAnsiTheme="majorHAnsi" w:cstheme="majorHAnsi"/>
        </w:rPr>
        <w:t xml:space="preserve"> </w:t>
      </w:r>
      <w:r w:rsidRPr="006B7893">
        <w:rPr>
          <w:rFonts w:asciiTheme="majorHAnsi" w:hAnsiTheme="majorHAnsi" w:cstheme="majorHAnsi"/>
        </w:rPr>
        <w:t xml:space="preserve">working </w:t>
      </w:r>
      <w:r w:rsidRPr="006B7893">
        <w:rPr>
          <w:rFonts w:asciiTheme="majorHAnsi" w:hAnsiTheme="majorHAnsi" w:cstheme="majorHAnsi"/>
          <w:i/>
        </w:rPr>
        <w:t>part time.</w:t>
      </w:r>
    </w:p>
    <w:p w14:paraId="2CA0C132" w14:textId="6CF34C8D" w:rsidR="004E3658" w:rsidRPr="0051357C" w:rsidRDefault="00C4299D" w:rsidP="0051357C">
      <w:pPr>
        <w:pStyle w:val="Heading3"/>
        <w:numPr>
          <w:ilvl w:val="0"/>
          <w:numId w:val="0"/>
        </w:numPr>
        <w:jc w:val="both"/>
        <w:rPr>
          <w:rFonts w:cstheme="majorHAnsi"/>
          <w:i/>
          <w:iCs/>
          <w:color w:val="auto"/>
          <w:sz w:val="22"/>
          <w:szCs w:val="22"/>
        </w:rPr>
      </w:pPr>
      <w:bookmarkStart w:id="10" w:name="_Toc64992941"/>
      <w:bookmarkStart w:id="11" w:name="_Toc186790727"/>
      <w:r w:rsidRPr="0051357C">
        <w:rPr>
          <w:rFonts w:cstheme="majorHAnsi"/>
          <w:i/>
          <w:iCs/>
          <w:color w:val="auto"/>
          <w:sz w:val="22"/>
          <w:szCs w:val="22"/>
        </w:rPr>
        <w:t>I</w:t>
      </w:r>
      <w:r w:rsidR="004E3658" w:rsidRPr="0051357C">
        <w:rPr>
          <w:rFonts w:cstheme="majorHAnsi"/>
          <w:i/>
          <w:iCs/>
          <w:color w:val="auto"/>
          <w:sz w:val="22"/>
          <w:szCs w:val="22"/>
        </w:rPr>
        <w:t>nternships</w:t>
      </w:r>
      <w:bookmarkEnd w:id="10"/>
      <w:bookmarkEnd w:id="11"/>
    </w:p>
    <w:p w14:paraId="2E206738" w14:textId="336DEF12" w:rsidR="004E3658" w:rsidRDefault="004E3658" w:rsidP="004E3658">
      <w:pPr>
        <w:jc w:val="both"/>
        <w:rPr>
          <w:rFonts w:asciiTheme="majorHAnsi" w:hAnsiTheme="majorHAnsi" w:cstheme="majorHAnsi"/>
          <w:sz w:val="22"/>
          <w:szCs w:val="22"/>
        </w:rPr>
      </w:pPr>
      <w:r w:rsidRPr="0051357C">
        <w:rPr>
          <w:rFonts w:asciiTheme="majorHAnsi" w:hAnsiTheme="majorHAnsi" w:cstheme="majorHAnsi"/>
          <w:sz w:val="22"/>
          <w:szCs w:val="22"/>
        </w:rPr>
        <w:t xml:space="preserve">An intern </w:t>
      </w:r>
      <w:r w:rsidR="00175B1D">
        <w:rPr>
          <w:rFonts w:asciiTheme="majorHAnsi" w:hAnsiTheme="majorHAnsi" w:cstheme="majorHAnsi"/>
          <w:sz w:val="22"/>
          <w:szCs w:val="22"/>
        </w:rPr>
        <w:t>may be</w:t>
      </w:r>
      <w:r w:rsidRPr="0051357C">
        <w:rPr>
          <w:rFonts w:asciiTheme="majorHAnsi" w:hAnsiTheme="majorHAnsi" w:cstheme="majorHAnsi"/>
          <w:sz w:val="22"/>
          <w:szCs w:val="22"/>
        </w:rPr>
        <w:t xml:space="preserve"> </w:t>
      </w:r>
      <w:r w:rsidR="001A5AC0">
        <w:rPr>
          <w:rFonts w:asciiTheme="majorHAnsi" w:hAnsiTheme="majorHAnsi" w:cstheme="majorHAnsi"/>
          <w:sz w:val="22"/>
          <w:szCs w:val="22"/>
        </w:rPr>
        <w:t xml:space="preserve">a </w:t>
      </w:r>
      <w:r w:rsidRPr="0051357C">
        <w:rPr>
          <w:rFonts w:asciiTheme="majorHAnsi" w:hAnsiTheme="majorHAnsi" w:cstheme="majorHAnsi"/>
          <w:sz w:val="22"/>
          <w:szCs w:val="22"/>
        </w:rPr>
        <w:t>temporary employee who is a student or has recently finished their studies and is receiving training by obtaining practical experience of a type of work. The duration of an internship should not last for more than 12 months</w:t>
      </w:r>
      <w:r w:rsidR="002938A5">
        <w:rPr>
          <w:rFonts w:asciiTheme="majorHAnsi" w:hAnsiTheme="majorHAnsi" w:cstheme="majorHAnsi"/>
          <w:sz w:val="22"/>
          <w:szCs w:val="22"/>
        </w:rPr>
        <w:t>, subject to applicable law</w:t>
      </w:r>
      <w:r w:rsidRPr="0051357C">
        <w:rPr>
          <w:rFonts w:asciiTheme="majorHAnsi" w:hAnsiTheme="majorHAnsi" w:cstheme="majorHAnsi"/>
          <w:sz w:val="22"/>
          <w:szCs w:val="22"/>
        </w:rPr>
        <w:t>.</w:t>
      </w:r>
    </w:p>
    <w:p w14:paraId="614F6C62" w14:textId="77777777" w:rsidR="00DF7BCC" w:rsidRPr="0051357C" w:rsidRDefault="00DF7BCC" w:rsidP="0051357C">
      <w:pPr>
        <w:pStyle w:val="Heading3"/>
        <w:numPr>
          <w:ilvl w:val="0"/>
          <w:numId w:val="0"/>
        </w:numPr>
        <w:jc w:val="both"/>
        <w:rPr>
          <w:rFonts w:cstheme="majorHAnsi"/>
          <w:i/>
          <w:iCs/>
          <w:color w:val="auto"/>
          <w:sz w:val="22"/>
          <w:szCs w:val="22"/>
        </w:rPr>
      </w:pPr>
      <w:bookmarkStart w:id="12" w:name="_Toc186790728"/>
      <w:r w:rsidRPr="0051357C">
        <w:rPr>
          <w:rFonts w:cstheme="majorHAnsi"/>
          <w:i/>
          <w:iCs/>
          <w:color w:val="auto"/>
          <w:sz w:val="22"/>
          <w:szCs w:val="22"/>
        </w:rPr>
        <w:t>Frontline Workers</w:t>
      </w:r>
      <w:bookmarkEnd w:id="12"/>
      <w:r w:rsidRPr="0051357C">
        <w:rPr>
          <w:rFonts w:cstheme="majorHAnsi"/>
          <w:i/>
          <w:iCs/>
          <w:color w:val="auto"/>
          <w:sz w:val="22"/>
          <w:szCs w:val="22"/>
        </w:rPr>
        <w:t xml:space="preserve"> </w:t>
      </w:r>
    </w:p>
    <w:p w14:paraId="3EFDD002" w14:textId="1F9F4867" w:rsidR="00DF7BCC" w:rsidRDefault="6B3824FD" w:rsidP="00DF7BCC">
      <w:pPr>
        <w:pStyle w:val="NoSpacing"/>
        <w:jc w:val="both"/>
        <w:rPr>
          <w:lang w:eastAsia="nl-NL" w:bidi="nl-NL"/>
        </w:rPr>
      </w:pPr>
      <w:r w:rsidRPr="6B3824FD">
        <w:rPr>
          <w:lang w:eastAsia="nl-NL" w:bidi="nl-NL"/>
        </w:rPr>
        <w:t xml:space="preserve">A frontline worker is considered an employee directly involved in our operations (e.g. contingent workforce hired in our cash processing centers). </w:t>
      </w:r>
      <w:r w:rsidRPr="6B3824FD">
        <w:rPr>
          <w:rFonts w:asciiTheme="majorHAnsi" w:hAnsiTheme="majorHAnsi" w:cstheme="majorBidi"/>
          <w:lang w:eastAsia="nl-NL" w:bidi="nl-NL"/>
        </w:rPr>
        <w:t>Interim, short-term, temporary, or seasonal frontline workers working on production lines, providing general labor support or other similar services are also not included in the scope of this policy.</w:t>
      </w:r>
    </w:p>
    <w:p w14:paraId="11D50BC8" w14:textId="77777777" w:rsidR="004E3658" w:rsidRPr="0051357C" w:rsidRDefault="004E3658" w:rsidP="0051357C">
      <w:pPr>
        <w:pStyle w:val="Heading3"/>
        <w:numPr>
          <w:ilvl w:val="0"/>
          <w:numId w:val="0"/>
        </w:numPr>
        <w:jc w:val="both"/>
        <w:rPr>
          <w:rFonts w:eastAsia="Calibri" w:cstheme="majorHAnsi"/>
          <w:i/>
          <w:iCs/>
          <w:color w:val="auto"/>
          <w:sz w:val="22"/>
          <w:szCs w:val="22"/>
          <w:lang w:eastAsia="nl-NL" w:bidi="nl-NL"/>
        </w:rPr>
      </w:pPr>
      <w:bookmarkStart w:id="13" w:name="_Toc64992942"/>
      <w:bookmarkStart w:id="14" w:name="_Toc186790729"/>
      <w:r w:rsidRPr="0051357C">
        <w:rPr>
          <w:rStyle w:val="Heading3Char"/>
          <w:rFonts w:cstheme="majorHAnsi"/>
          <w:b/>
          <w:bCs/>
          <w:i/>
          <w:iCs/>
          <w:color w:val="auto"/>
          <w:sz w:val="22"/>
          <w:szCs w:val="22"/>
        </w:rPr>
        <w:t>Business Process Outsourcing (BPO) firms</w:t>
      </w:r>
      <w:bookmarkEnd w:id="13"/>
      <w:bookmarkEnd w:id="14"/>
      <w:r w:rsidRPr="0051357C">
        <w:rPr>
          <w:rFonts w:eastAsia="Calibri" w:cstheme="majorHAnsi"/>
          <w:i/>
          <w:iCs/>
          <w:color w:val="auto"/>
          <w:sz w:val="22"/>
          <w:szCs w:val="22"/>
          <w:lang w:eastAsia="nl-NL" w:bidi="nl-NL"/>
        </w:rPr>
        <w:t xml:space="preserve"> </w:t>
      </w:r>
    </w:p>
    <w:p w14:paraId="3531A750" w14:textId="50305AB0" w:rsidR="004E3658" w:rsidRDefault="004E3658" w:rsidP="004E3658">
      <w:pPr>
        <w:jc w:val="both"/>
        <w:rPr>
          <w:rFonts w:asciiTheme="majorHAnsi" w:hAnsiTheme="majorHAnsi" w:cstheme="majorHAnsi"/>
          <w:sz w:val="22"/>
          <w:szCs w:val="22"/>
          <w:lang w:eastAsia="nl-NL" w:bidi="nl-NL"/>
        </w:rPr>
      </w:pPr>
      <w:r w:rsidRPr="0051357C">
        <w:rPr>
          <w:rFonts w:asciiTheme="majorHAnsi" w:hAnsiTheme="majorHAnsi" w:cstheme="majorHAnsi"/>
          <w:sz w:val="22"/>
          <w:szCs w:val="22"/>
          <w:lang w:val="en-GB"/>
        </w:rPr>
        <w:t xml:space="preserve">Business process outsourcing (BPO) is defined as the outsourcing arrangement where business functions (such as finance, accounting, and customer service) are outsourced with no intention of ever insourcing back the function. Engagements with BPO firms last at minimum three years. </w:t>
      </w:r>
      <w:r w:rsidRPr="0051357C">
        <w:rPr>
          <w:rFonts w:asciiTheme="majorHAnsi" w:hAnsiTheme="majorHAnsi" w:cstheme="majorHAnsi"/>
          <w:sz w:val="22"/>
          <w:szCs w:val="22"/>
          <w:lang w:eastAsia="nl-NL" w:bidi="nl-NL"/>
        </w:rPr>
        <w:t xml:space="preserve">For example, IT support activities performed by a company such as Infosys are under BPO. </w:t>
      </w:r>
    </w:p>
    <w:p w14:paraId="5B768955" w14:textId="77777777" w:rsidR="00E83C76" w:rsidRDefault="00E83C76" w:rsidP="004E3658">
      <w:pPr>
        <w:jc w:val="both"/>
        <w:rPr>
          <w:rFonts w:asciiTheme="majorHAnsi" w:hAnsiTheme="majorHAnsi" w:cstheme="majorHAnsi"/>
          <w:sz w:val="22"/>
          <w:szCs w:val="22"/>
          <w:lang w:eastAsia="nl-NL" w:bidi="nl-NL"/>
        </w:rPr>
      </w:pPr>
    </w:p>
    <w:p w14:paraId="55EE01D9" w14:textId="73218D0B" w:rsidR="00E83C76" w:rsidRPr="00A96CF2" w:rsidRDefault="00E83C76" w:rsidP="004E3658">
      <w:pPr>
        <w:jc w:val="both"/>
        <w:rPr>
          <w:rFonts w:asciiTheme="majorHAnsi" w:hAnsiTheme="majorHAnsi" w:cstheme="majorHAnsi"/>
          <w:b/>
          <w:bCs/>
          <w:i/>
          <w:iCs/>
          <w:sz w:val="22"/>
          <w:szCs w:val="22"/>
          <w:lang w:eastAsia="nl-NL" w:bidi="nl-NL"/>
        </w:rPr>
      </w:pPr>
      <w:r w:rsidRPr="00A96CF2">
        <w:rPr>
          <w:rFonts w:asciiTheme="majorHAnsi" w:hAnsiTheme="majorHAnsi" w:cstheme="majorHAnsi"/>
          <w:b/>
          <w:bCs/>
          <w:i/>
          <w:iCs/>
          <w:sz w:val="22"/>
          <w:szCs w:val="22"/>
          <w:lang w:eastAsia="nl-NL" w:bidi="nl-NL"/>
        </w:rPr>
        <w:t>Law firms</w:t>
      </w:r>
    </w:p>
    <w:p w14:paraId="04C4292A" w14:textId="2FE92277" w:rsidR="00E83C76" w:rsidRPr="0051357C" w:rsidRDefault="003269DF" w:rsidP="004E3658">
      <w:pPr>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A law firm is a </w:t>
      </w:r>
      <w:r w:rsidRPr="003269DF">
        <w:rPr>
          <w:rFonts w:asciiTheme="majorHAnsi" w:hAnsiTheme="majorHAnsi" w:cstheme="majorHAnsi"/>
          <w:sz w:val="22"/>
          <w:szCs w:val="22"/>
          <w:lang w:val="en-GB"/>
        </w:rPr>
        <w:t>business entity formed by one or more lawyers to provide legal advice to clients, represent them in legal disputes, and handle matters such as contracts, litigation, and negotiations.</w:t>
      </w:r>
      <w:r>
        <w:rPr>
          <w:rFonts w:asciiTheme="majorHAnsi" w:hAnsiTheme="majorHAnsi" w:cstheme="majorHAnsi"/>
          <w:sz w:val="22"/>
          <w:szCs w:val="22"/>
          <w:lang w:val="en-GB"/>
        </w:rPr>
        <w:t xml:space="preserve"> </w:t>
      </w:r>
      <w:r w:rsidR="006E1E21">
        <w:rPr>
          <w:rFonts w:asciiTheme="majorHAnsi" w:hAnsiTheme="majorHAnsi" w:cstheme="majorHAnsi"/>
          <w:sz w:val="22"/>
          <w:szCs w:val="22"/>
          <w:lang w:val="en-GB"/>
        </w:rPr>
        <w:t>Selecting and h</w:t>
      </w:r>
      <w:r>
        <w:rPr>
          <w:rFonts w:asciiTheme="majorHAnsi" w:hAnsiTheme="majorHAnsi" w:cstheme="majorHAnsi"/>
          <w:sz w:val="22"/>
          <w:szCs w:val="22"/>
          <w:lang w:val="en-GB"/>
        </w:rPr>
        <w:t>iring law firms is governed by the Brink’s Legal Services Policy.</w:t>
      </w:r>
    </w:p>
    <w:p w14:paraId="5243A958" w14:textId="0BE46F9F" w:rsidR="009401F0" w:rsidRPr="0051357C" w:rsidRDefault="00D008D8" w:rsidP="00265B75">
      <w:pPr>
        <w:pStyle w:val="Heading3"/>
        <w:numPr>
          <w:ilvl w:val="0"/>
          <w:numId w:val="0"/>
        </w:numPr>
        <w:tabs>
          <w:tab w:val="left" w:pos="9135"/>
        </w:tabs>
        <w:rPr>
          <w:rFonts w:cstheme="majorHAnsi"/>
          <w:i/>
          <w:iCs/>
          <w:color w:val="auto"/>
          <w:sz w:val="22"/>
          <w:szCs w:val="22"/>
          <w:lang w:eastAsia="nl-NL" w:bidi="nl-NL"/>
        </w:rPr>
      </w:pPr>
      <w:bookmarkStart w:id="15" w:name="_Toc186790730"/>
      <w:r w:rsidRPr="0051357C">
        <w:rPr>
          <w:rFonts w:cstheme="majorHAnsi"/>
          <w:i/>
          <w:iCs/>
          <w:color w:val="auto"/>
          <w:sz w:val="22"/>
          <w:szCs w:val="22"/>
          <w:lang w:eastAsia="nl-NL" w:bidi="nl-NL"/>
        </w:rPr>
        <w:t xml:space="preserve">Consulting </w:t>
      </w:r>
      <w:r w:rsidR="00C47FFD" w:rsidRPr="0051357C">
        <w:rPr>
          <w:rFonts w:cstheme="majorHAnsi"/>
          <w:i/>
          <w:iCs/>
          <w:color w:val="auto"/>
          <w:sz w:val="22"/>
          <w:szCs w:val="22"/>
          <w:lang w:eastAsia="nl-NL" w:bidi="nl-NL"/>
        </w:rPr>
        <w:t>P</w:t>
      </w:r>
      <w:r w:rsidRPr="0051357C">
        <w:rPr>
          <w:rFonts w:cstheme="majorHAnsi"/>
          <w:i/>
          <w:iCs/>
          <w:color w:val="auto"/>
          <w:sz w:val="22"/>
          <w:szCs w:val="22"/>
          <w:lang w:eastAsia="nl-NL" w:bidi="nl-NL"/>
        </w:rPr>
        <w:t>rojects</w:t>
      </w:r>
      <w:bookmarkEnd w:id="15"/>
      <w:r w:rsidR="00265B75">
        <w:rPr>
          <w:rFonts w:cstheme="majorHAnsi"/>
          <w:i/>
          <w:iCs/>
          <w:color w:val="auto"/>
          <w:sz w:val="22"/>
          <w:szCs w:val="22"/>
          <w:lang w:eastAsia="nl-NL" w:bidi="nl-NL"/>
        </w:rPr>
        <w:tab/>
      </w:r>
    </w:p>
    <w:p w14:paraId="41AA2E9B" w14:textId="1A301571" w:rsidR="008C25BC" w:rsidRDefault="00D008D8" w:rsidP="00D008D8">
      <w:pPr>
        <w:rPr>
          <w:rFonts w:asciiTheme="majorHAnsi" w:hAnsiTheme="majorHAnsi" w:cstheme="majorBidi"/>
          <w:sz w:val="22"/>
          <w:szCs w:val="22"/>
          <w:lang w:eastAsia="nl-NL" w:bidi="nl-NL"/>
        </w:rPr>
      </w:pPr>
      <w:r w:rsidRPr="00D008D8">
        <w:rPr>
          <w:rFonts w:asciiTheme="majorHAnsi" w:hAnsiTheme="majorHAnsi" w:cstheme="majorBidi"/>
          <w:sz w:val="22"/>
          <w:szCs w:val="22"/>
          <w:lang w:eastAsia="nl-NL" w:bidi="nl-NL"/>
        </w:rPr>
        <w:t xml:space="preserve">Consulting projects involve firms or individuals compensated based on the delivery of a specific output or result, rather than the time spent. Consultants are engaged to provide strategic advice or specialized services, and their fees are typically </w:t>
      </w:r>
      <w:r w:rsidR="00BD41F1" w:rsidRPr="00D008D8">
        <w:rPr>
          <w:rFonts w:asciiTheme="majorHAnsi" w:hAnsiTheme="majorHAnsi" w:cstheme="majorBidi"/>
          <w:sz w:val="22"/>
          <w:szCs w:val="22"/>
          <w:lang w:eastAsia="nl-NL" w:bidi="nl-NL"/>
        </w:rPr>
        <w:t>fixed,</w:t>
      </w:r>
      <w:r w:rsidRPr="00D008D8">
        <w:rPr>
          <w:rFonts w:asciiTheme="majorHAnsi" w:hAnsiTheme="majorHAnsi" w:cstheme="majorBidi"/>
          <w:sz w:val="22"/>
          <w:szCs w:val="22"/>
          <w:lang w:eastAsia="nl-NL" w:bidi="nl-NL"/>
        </w:rPr>
        <w:t xml:space="preserve"> or </w:t>
      </w:r>
      <w:r w:rsidR="000776D0" w:rsidRPr="00D008D8">
        <w:rPr>
          <w:rFonts w:asciiTheme="majorHAnsi" w:hAnsiTheme="majorHAnsi" w:cstheme="majorBidi"/>
          <w:sz w:val="22"/>
          <w:szCs w:val="22"/>
          <w:lang w:eastAsia="nl-NL" w:bidi="nl-NL"/>
        </w:rPr>
        <w:t>project based</w:t>
      </w:r>
      <w:r w:rsidRPr="00D008D8">
        <w:rPr>
          <w:rFonts w:asciiTheme="majorHAnsi" w:hAnsiTheme="majorHAnsi" w:cstheme="majorBidi"/>
          <w:sz w:val="22"/>
          <w:szCs w:val="22"/>
          <w:lang w:eastAsia="nl-NL" w:bidi="nl-NL"/>
        </w:rPr>
        <w:t xml:space="preserve">. </w:t>
      </w:r>
    </w:p>
    <w:p w14:paraId="3A3AA1B6" w14:textId="77777777" w:rsidR="008C25BC" w:rsidRDefault="008C25BC" w:rsidP="00D008D8">
      <w:pPr>
        <w:rPr>
          <w:rFonts w:asciiTheme="majorHAnsi" w:hAnsiTheme="majorHAnsi" w:cstheme="majorBidi"/>
          <w:sz w:val="22"/>
          <w:szCs w:val="22"/>
          <w:u w:val="single"/>
          <w:lang w:eastAsia="nl-NL" w:bidi="nl-NL"/>
        </w:rPr>
      </w:pPr>
    </w:p>
    <w:p w14:paraId="58A5F696" w14:textId="77777777" w:rsidR="00C4680F" w:rsidRPr="0051357C" w:rsidRDefault="00C4680F" w:rsidP="00D008D8">
      <w:pPr>
        <w:rPr>
          <w:rFonts w:asciiTheme="majorHAnsi" w:hAnsiTheme="majorHAnsi" w:cstheme="majorBidi"/>
          <w:sz w:val="22"/>
          <w:szCs w:val="22"/>
          <w:lang w:eastAsia="nl-NL" w:bidi="nl-NL"/>
        </w:rPr>
      </w:pPr>
    </w:p>
    <w:p w14:paraId="5B1C77EF" w14:textId="353F6AA4" w:rsidR="00C4680F" w:rsidRPr="0051357C" w:rsidRDefault="00C4680F" w:rsidP="00D008D8">
      <w:pPr>
        <w:rPr>
          <w:rFonts w:asciiTheme="majorHAnsi" w:hAnsiTheme="majorHAnsi" w:cstheme="majorBidi"/>
          <w:sz w:val="22"/>
          <w:szCs w:val="22"/>
          <w:u w:val="single"/>
          <w:lang w:eastAsia="nl-NL" w:bidi="nl-NL"/>
        </w:rPr>
      </w:pPr>
      <w:r w:rsidRPr="0051357C">
        <w:rPr>
          <w:rFonts w:asciiTheme="majorHAnsi" w:hAnsiTheme="majorHAnsi" w:cstheme="majorBidi"/>
          <w:sz w:val="22"/>
          <w:szCs w:val="22"/>
          <w:u w:val="single"/>
          <w:lang w:eastAsia="nl-NL" w:bidi="nl-NL"/>
        </w:rPr>
        <w:t>See below further clarification:</w:t>
      </w:r>
    </w:p>
    <w:p w14:paraId="36157DE0" w14:textId="77777777" w:rsidR="007D6515" w:rsidRPr="0074239A" w:rsidRDefault="007D6515" w:rsidP="0093571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435"/>
        <w:gridCol w:w="4140"/>
        <w:gridCol w:w="4770"/>
      </w:tblGrid>
      <w:tr w:rsidR="00066940" w:rsidRPr="00500682" w14:paraId="3A7D5B6E" w14:textId="77777777" w:rsidTr="00683D29">
        <w:trPr>
          <w:trHeight w:val="242"/>
        </w:trPr>
        <w:tc>
          <w:tcPr>
            <w:tcW w:w="1435" w:type="dxa"/>
            <w:shd w:val="clear" w:color="auto" w:fill="BCD3EE"/>
          </w:tcPr>
          <w:p w14:paraId="3FAEE1FD" w14:textId="77777777" w:rsidR="006C341A" w:rsidRPr="00500682" w:rsidRDefault="006C341A" w:rsidP="00E74EF7">
            <w:pPr>
              <w:jc w:val="both"/>
              <w:rPr>
                <w:rFonts w:asciiTheme="majorHAnsi" w:eastAsia="Calibri" w:hAnsiTheme="majorHAnsi" w:cstheme="majorHAnsi"/>
                <w:b/>
                <w:bCs/>
                <w:lang w:eastAsia="nl-NL" w:bidi="nl-NL"/>
              </w:rPr>
            </w:pPr>
            <w:r w:rsidRPr="00500682">
              <w:rPr>
                <w:rFonts w:asciiTheme="majorHAnsi" w:eastAsia="Calibri" w:hAnsiTheme="majorHAnsi" w:cstheme="majorHAnsi"/>
                <w:b/>
                <w:bCs/>
                <w:lang w:eastAsia="nl-NL" w:bidi="nl-NL"/>
              </w:rPr>
              <w:t>Criteria</w:t>
            </w:r>
          </w:p>
        </w:tc>
        <w:tc>
          <w:tcPr>
            <w:tcW w:w="4140" w:type="dxa"/>
            <w:shd w:val="clear" w:color="auto" w:fill="BCD3EE"/>
          </w:tcPr>
          <w:p w14:paraId="33208FF6" w14:textId="5DD5333D" w:rsidR="006C341A" w:rsidRPr="00500682" w:rsidRDefault="008725B6" w:rsidP="00E74EF7">
            <w:pPr>
              <w:jc w:val="both"/>
              <w:rPr>
                <w:rFonts w:asciiTheme="majorHAnsi" w:eastAsia="Calibri" w:hAnsiTheme="majorHAnsi" w:cstheme="majorHAnsi"/>
                <w:b/>
                <w:bCs/>
                <w:lang w:eastAsia="nl-NL" w:bidi="nl-NL"/>
              </w:rPr>
            </w:pPr>
            <w:r>
              <w:rPr>
                <w:rFonts w:asciiTheme="majorHAnsi" w:eastAsia="Calibri" w:hAnsiTheme="majorHAnsi" w:cstheme="majorHAnsi"/>
                <w:b/>
                <w:bCs/>
                <w:lang w:eastAsia="nl-NL" w:bidi="nl-NL"/>
              </w:rPr>
              <w:t>Contingent Workforce</w:t>
            </w:r>
            <w:r w:rsidR="00C4299D">
              <w:rPr>
                <w:rFonts w:asciiTheme="majorHAnsi" w:eastAsia="Calibri" w:hAnsiTheme="majorHAnsi" w:cstheme="majorHAnsi"/>
                <w:b/>
                <w:bCs/>
                <w:lang w:eastAsia="nl-NL" w:bidi="nl-NL"/>
              </w:rPr>
              <w:t xml:space="preserve"> (In Scope)</w:t>
            </w:r>
          </w:p>
        </w:tc>
        <w:tc>
          <w:tcPr>
            <w:tcW w:w="4770" w:type="dxa"/>
            <w:shd w:val="clear" w:color="auto" w:fill="BCD3EE"/>
          </w:tcPr>
          <w:p w14:paraId="033F9D2C" w14:textId="10AB35F6" w:rsidR="006C341A" w:rsidRPr="00500682" w:rsidRDefault="008725B6" w:rsidP="00E74EF7">
            <w:pPr>
              <w:jc w:val="both"/>
              <w:rPr>
                <w:rFonts w:asciiTheme="majorHAnsi" w:eastAsia="Calibri" w:hAnsiTheme="majorHAnsi" w:cstheme="majorHAnsi"/>
                <w:b/>
                <w:bCs/>
                <w:lang w:eastAsia="nl-NL" w:bidi="nl-NL"/>
              </w:rPr>
            </w:pPr>
            <w:r>
              <w:rPr>
                <w:rFonts w:asciiTheme="majorHAnsi" w:eastAsia="Calibri" w:hAnsiTheme="majorHAnsi" w:cstheme="majorHAnsi"/>
                <w:b/>
                <w:bCs/>
                <w:lang w:eastAsia="nl-NL" w:bidi="nl-NL"/>
              </w:rPr>
              <w:t>Consulting Projects</w:t>
            </w:r>
            <w:r w:rsidR="00C4299D">
              <w:rPr>
                <w:rFonts w:asciiTheme="majorHAnsi" w:eastAsia="Calibri" w:hAnsiTheme="majorHAnsi" w:cstheme="majorHAnsi"/>
                <w:b/>
                <w:bCs/>
                <w:lang w:eastAsia="nl-NL" w:bidi="nl-NL"/>
              </w:rPr>
              <w:t xml:space="preserve"> (Out of Scope)</w:t>
            </w:r>
          </w:p>
        </w:tc>
      </w:tr>
      <w:tr w:rsidR="006C341A" w:rsidRPr="00500682" w14:paraId="4E43D6A7" w14:textId="77777777" w:rsidTr="0051357C">
        <w:tc>
          <w:tcPr>
            <w:tcW w:w="1435" w:type="dxa"/>
          </w:tcPr>
          <w:p w14:paraId="76295883" w14:textId="4969C2CA" w:rsidR="006C341A" w:rsidRPr="00500682" w:rsidRDefault="006C341A" w:rsidP="00E74EF7">
            <w:pPr>
              <w:rPr>
                <w:rFonts w:asciiTheme="majorHAnsi" w:eastAsia="Calibri" w:hAnsiTheme="majorHAnsi" w:cstheme="majorHAnsi"/>
                <w:b/>
                <w:bCs/>
                <w:lang w:eastAsia="nl-NL" w:bidi="nl-NL"/>
              </w:rPr>
            </w:pPr>
            <w:r w:rsidRPr="00500682">
              <w:rPr>
                <w:rFonts w:asciiTheme="majorHAnsi" w:eastAsia="Calibri" w:hAnsiTheme="majorHAnsi" w:cstheme="majorHAnsi"/>
                <w:b/>
                <w:bCs/>
                <w:lang w:eastAsia="nl-NL" w:bidi="nl-NL"/>
              </w:rPr>
              <w:t>Work defined by</w:t>
            </w:r>
            <w:r w:rsidR="00E13DD8">
              <w:rPr>
                <w:rFonts w:asciiTheme="majorHAnsi" w:eastAsia="Calibri" w:hAnsiTheme="majorHAnsi" w:cstheme="majorHAnsi"/>
                <w:b/>
                <w:bCs/>
                <w:lang w:eastAsia="nl-NL" w:bidi="nl-NL"/>
              </w:rPr>
              <w:t>:</w:t>
            </w:r>
          </w:p>
        </w:tc>
        <w:tc>
          <w:tcPr>
            <w:tcW w:w="4140" w:type="dxa"/>
          </w:tcPr>
          <w:p w14:paraId="2B358A5C" w14:textId="1D430699" w:rsidR="006C341A" w:rsidRPr="00500682" w:rsidRDefault="006C341A" w:rsidP="00E74EF7">
            <w:pPr>
              <w:jc w:val="both"/>
              <w:rPr>
                <w:rFonts w:asciiTheme="majorHAnsi" w:eastAsia="Calibri" w:hAnsiTheme="majorHAnsi" w:cstheme="majorHAnsi"/>
                <w:lang w:eastAsia="nl-NL" w:bidi="nl-NL"/>
              </w:rPr>
            </w:pPr>
            <w:r w:rsidRPr="00500682">
              <w:rPr>
                <w:rFonts w:asciiTheme="majorHAnsi" w:eastAsia="Calibri" w:hAnsiTheme="majorHAnsi" w:cstheme="majorHAnsi"/>
                <w:lang w:eastAsia="nl-NL" w:bidi="nl-NL"/>
              </w:rPr>
              <w:t>A time bound role of maximum 12 months, define</w:t>
            </w:r>
            <w:r w:rsidR="00D45BA5">
              <w:rPr>
                <w:rFonts w:asciiTheme="majorHAnsi" w:eastAsia="Calibri" w:hAnsiTheme="majorHAnsi" w:cstheme="majorHAnsi"/>
                <w:lang w:eastAsia="nl-NL" w:bidi="nl-NL"/>
              </w:rPr>
              <w:t>d</w:t>
            </w:r>
            <w:r w:rsidRPr="00500682">
              <w:rPr>
                <w:rFonts w:asciiTheme="majorHAnsi" w:eastAsia="Calibri" w:hAnsiTheme="majorHAnsi" w:cstheme="majorHAnsi"/>
                <w:lang w:eastAsia="nl-NL" w:bidi="nl-NL"/>
              </w:rPr>
              <w:t xml:space="preserve"> by a Job Description</w:t>
            </w:r>
          </w:p>
        </w:tc>
        <w:tc>
          <w:tcPr>
            <w:tcW w:w="4770" w:type="dxa"/>
          </w:tcPr>
          <w:p w14:paraId="4009AD22" w14:textId="77777777" w:rsidR="006C341A" w:rsidRPr="00500682" w:rsidRDefault="006C341A" w:rsidP="00E74EF7">
            <w:pPr>
              <w:jc w:val="both"/>
              <w:rPr>
                <w:rFonts w:asciiTheme="majorHAnsi" w:eastAsia="Calibri" w:hAnsiTheme="majorHAnsi" w:cstheme="majorHAnsi"/>
                <w:lang w:eastAsia="nl-NL" w:bidi="nl-NL"/>
              </w:rPr>
            </w:pPr>
            <w:r w:rsidRPr="00500682">
              <w:rPr>
                <w:rFonts w:asciiTheme="majorHAnsi" w:eastAsia="Calibri" w:hAnsiTheme="majorHAnsi" w:cstheme="majorHAnsi"/>
                <w:lang w:eastAsia="nl-NL" w:bidi="nl-NL"/>
              </w:rPr>
              <w:t>A service with clearly defined deliverables and milestones for activities shorter than 24 month</w:t>
            </w:r>
            <w:r w:rsidRPr="0074239A">
              <w:rPr>
                <w:rFonts w:asciiTheme="majorHAnsi" w:eastAsia="Calibri" w:hAnsiTheme="majorHAnsi" w:cstheme="majorHAnsi"/>
                <w:lang w:eastAsia="nl-NL" w:bidi="nl-NL"/>
              </w:rPr>
              <w:t>s</w:t>
            </w:r>
          </w:p>
        </w:tc>
      </w:tr>
      <w:tr w:rsidR="006C341A" w:rsidRPr="00500682" w14:paraId="592EA028" w14:textId="77777777" w:rsidTr="0051357C">
        <w:tc>
          <w:tcPr>
            <w:tcW w:w="1435" w:type="dxa"/>
          </w:tcPr>
          <w:p w14:paraId="1B8EB4B0" w14:textId="20D97503" w:rsidR="006C341A" w:rsidRPr="00500682" w:rsidRDefault="006C341A" w:rsidP="00E74EF7">
            <w:pPr>
              <w:rPr>
                <w:rFonts w:asciiTheme="majorHAnsi" w:eastAsia="Calibri" w:hAnsiTheme="majorHAnsi" w:cstheme="majorHAnsi"/>
                <w:b/>
                <w:bCs/>
                <w:lang w:eastAsia="nl-NL" w:bidi="nl-NL"/>
              </w:rPr>
            </w:pPr>
            <w:r w:rsidRPr="00500682">
              <w:rPr>
                <w:rFonts w:asciiTheme="majorHAnsi" w:eastAsia="Calibri" w:hAnsiTheme="majorHAnsi" w:cstheme="majorHAnsi"/>
                <w:b/>
                <w:bCs/>
                <w:lang w:eastAsia="nl-NL" w:bidi="nl-NL"/>
              </w:rPr>
              <w:t>Payment</w:t>
            </w:r>
          </w:p>
        </w:tc>
        <w:tc>
          <w:tcPr>
            <w:tcW w:w="4140" w:type="dxa"/>
          </w:tcPr>
          <w:p w14:paraId="4CB68C9E" w14:textId="77777777" w:rsidR="006C341A" w:rsidRPr="00500682" w:rsidRDefault="006C341A" w:rsidP="00E74EF7">
            <w:pPr>
              <w:jc w:val="both"/>
              <w:rPr>
                <w:rFonts w:asciiTheme="majorHAnsi" w:eastAsia="Calibri" w:hAnsiTheme="majorHAnsi" w:cstheme="majorHAnsi"/>
                <w:lang w:eastAsia="nl-NL" w:bidi="nl-NL"/>
              </w:rPr>
            </w:pPr>
            <w:r w:rsidRPr="00500682">
              <w:rPr>
                <w:rFonts w:asciiTheme="majorHAnsi" w:eastAsia="Calibri" w:hAnsiTheme="majorHAnsi" w:cstheme="majorHAnsi"/>
                <w:lang w:eastAsia="nl-NL" w:bidi="nl-NL"/>
              </w:rPr>
              <w:t>Based on time and material</w:t>
            </w:r>
            <w:r w:rsidRPr="0074239A">
              <w:rPr>
                <w:rFonts w:asciiTheme="majorHAnsi" w:eastAsia="Calibri" w:hAnsiTheme="majorHAnsi" w:cstheme="majorHAnsi"/>
                <w:lang w:eastAsia="nl-NL" w:bidi="nl-NL"/>
              </w:rPr>
              <w:t xml:space="preserve"> (e.g. bill rate per hour)</w:t>
            </w:r>
          </w:p>
        </w:tc>
        <w:tc>
          <w:tcPr>
            <w:tcW w:w="4770" w:type="dxa"/>
          </w:tcPr>
          <w:p w14:paraId="123D6A95" w14:textId="77777777" w:rsidR="006C341A" w:rsidRPr="00500682" w:rsidRDefault="006C341A" w:rsidP="00E74EF7">
            <w:pPr>
              <w:jc w:val="both"/>
              <w:rPr>
                <w:rFonts w:asciiTheme="majorHAnsi" w:eastAsia="Calibri" w:hAnsiTheme="majorHAnsi" w:cstheme="majorHAnsi"/>
                <w:lang w:eastAsia="nl-NL" w:bidi="nl-NL"/>
              </w:rPr>
            </w:pPr>
            <w:r w:rsidRPr="00500682">
              <w:rPr>
                <w:rFonts w:asciiTheme="majorHAnsi" w:eastAsia="Calibri" w:hAnsiTheme="majorHAnsi" w:cstheme="majorHAnsi"/>
                <w:lang w:eastAsia="nl-NL" w:bidi="nl-NL"/>
              </w:rPr>
              <w:t>Based on delivery and completion of outputs and milestones</w:t>
            </w:r>
          </w:p>
        </w:tc>
      </w:tr>
      <w:tr w:rsidR="006C341A" w:rsidRPr="00500682" w14:paraId="7CB2FD0C" w14:textId="77777777" w:rsidTr="0051357C">
        <w:tc>
          <w:tcPr>
            <w:tcW w:w="1435" w:type="dxa"/>
          </w:tcPr>
          <w:p w14:paraId="6CC30A0D" w14:textId="560F9630" w:rsidR="006C341A" w:rsidRPr="00500682" w:rsidRDefault="006C341A" w:rsidP="00E74EF7">
            <w:pPr>
              <w:rPr>
                <w:rFonts w:asciiTheme="majorHAnsi" w:eastAsia="Calibri" w:hAnsiTheme="majorHAnsi" w:cstheme="majorHAnsi"/>
                <w:b/>
                <w:bCs/>
                <w:lang w:eastAsia="nl-NL" w:bidi="nl-NL"/>
              </w:rPr>
            </w:pPr>
            <w:r w:rsidRPr="00500682">
              <w:rPr>
                <w:rFonts w:asciiTheme="majorHAnsi" w:eastAsia="Calibri" w:hAnsiTheme="majorHAnsi" w:cstheme="majorHAnsi"/>
                <w:b/>
                <w:bCs/>
                <w:lang w:eastAsia="nl-NL" w:bidi="nl-NL"/>
              </w:rPr>
              <w:t>Individual profiles</w:t>
            </w:r>
          </w:p>
        </w:tc>
        <w:tc>
          <w:tcPr>
            <w:tcW w:w="4140" w:type="dxa"/>
          </w:tcPr>
          <w:p w14:paraId="116587AA" w14:textId="25B113FE" w:rsidR="006C341A" w:rsidRPr="00500682" w:rsidRDefault="006C341A" w:rsidP="00E74EF7">
            <w:pPr>
              <w:jc w:val="both"/>
              <w:rPr>
                <w:rFonts w:asciiTheme="majorHAnsi" w:eastAsia="Calibri" w:hAnsiTheme="majorHAnsi" w:cstheme="majorBidi"/>
                <w:lang w:eastAsia="nl-NL" w:bidi="nl-NL"/>
              </w:rPr>
            </w:pPr>
            <w:r w:rsidRPr="31C84DF2">
              <w:rPr>
                <w:rFonts w:asciiTheme="majorHAnsi" w:eastAsia="Calibri" w:hAnsiTheme="majorHAnsi" w:cstheme="majorBidi"/>
                <w:lang w:eastAsia="nl-NL" w:bidi="nl-NL"/>
              </w:rPr>
              <w:t>Individual profiles are determined by Brink’s, such as selection of a specific candidate.</w:t>
            </w:r>
          </w:p>
        </w:tc>
        <w:tc>
          <w:tcPr>
            <w:tcW w:w="4770" w:type="dxa"/>
          </w:tcPr>
          <w:p w14:paraId="7F1250CE" w14:textId="2AC0DBC2" w:rsidR="006C341A" w:rsidRPr="00500682" w:rsidRDefault="006C341A" w:rsidP="00E74EF7">
            <w:pPr>
              <w:jc w:val="both"/>
              <w:rPr>
                <w:rFonts w:asciiTheme="majorHAnsi" w:eastAsia="Calibri" w:hAnsiTheme="majorHAnsi" w:cstheme="majorHAnsi"/>
                <w:lang w:eastAsia="nl-NL" w:bidi="nl-NL"/>
              </w:rPr>
            </w:pPr>
            <w:r w:rsidRPr="00500682">
              <w:rPr>
                <w:rFonts w:asciiTheme="majorHAnsi" w:eastAsia="Calibri" w:hAnsiTheme="majorHAnsi" w:cstheme="majorHAnsi"/>
                <w:lang w:eastAsia="nl-NL" w:bidi="nl-NL"/>
              </w:rPr>
              <w:t xml:space="preserve">Individual profiles not determined by </w:t>
            </w:r>
            <w:r w:rsidRPr="0074239A">
              <w:rPr>
                <w:rFonts w:asciiTheme="majorHAnsi" w:eastAsia="Calibri" w:hAnsiTheme="majorHAnsi" w:cstheme="majorHAnsi"/>
                <w:lang w:eastAsia="nl-NL" w:bidi="nl-NL"/>
              </w:rPr>
              <w:t>Brink’s</w:t>
            </w:r>
            <w:r w:rsidRPr="00500682">
              <w:rPr>
                <w:rFonts w:asciiTheme="majorHAnsi" w:eastAsia="Calibri" w:hAnsiTheme="majorHAnsi" w:cstheme="majorHAnsi"/>
                <w:lang w:eastAsia="nl-NL" w:bidi="nl-NL"/>
              </w:rPr>
              <w:t xml:space="preserve"> and selected </w:t>
            </w:r>
            <w:r w:rsidR="0050147B">
              <w:rPr>
                <w:rFonts w:asciiTheme="majorHAnsi" w:eastAsia="Calibri" w:hAnsiTheme="majorHAnsi" w:cstheme="majorHAnsi"/>
                <w:lang w:eastAsia="nl-NL" w:bidi="nl-NL"/>
              </w:rPr>
              <w:t>at</w:t>
            </w:r>
            <w:r w:rsidRPr="00500682">
              <w:rPr>
                <w:rFonts w:asciiTheme="majorHAnsi" w:eastAsia="Calibri" w:hAnsiTheme="majorHAnsi" w:cstheme="majorHAnsi"/>
                <w:lang w:eastAsia="nl-NL" w:bidi="nl-NL"/>
              </w:rPr>
              <w:t xml:space="preserve"> supplier</w:t>
            </w:r>
            <w:r w:rsidR="0050147B">
              <w:rPr>
                <w:rFonts w:asciiTheme="majorHAnsi" w:eastAsia="Calibri" w:hAnsiTheme="majorHAnsi" w:cstheme="majorHAnsi"/>
                <w:lang w:eastAsia="nl-NL" w:bidi="nl-NL"/>
              </w:rPr>
              <w:t>’s discretion</w:t>
            </w:r>
            <w:r w:rsidRPr="00500682">
              <w:rPr>
                <w:rFonts w:asciiTheme="majorHAnsi" w:eastAsia="Calibri" w:hAnsiTheme="majorHAnsi" w:cstheme="majorHAnsi"/>
                <w:lang w:eastAsia="nl-NL" w:bidi="nl-NL"/>
              </w:rPr>
              <w:t>.</w:t>
            </w:r>
          </w:p>
        </w:tc>
      </w:tr>
      <w:tr w:rsidR="006C341A" w:rsidRPr="00500682" w14:paraId="0F35B81C" w14:textId="77777777" w:rsidTr="0051357C">
        <w:tc>
          <w:tcPr>
            <w:tcW w:w="1435" w:type="dxa"/>
          </w:tcPr>
          <w:p w14:paraId="79A2AC44" w14:textId="77777777" w:rsidR="006C341A" w:rsidRPr="00500682" w:rsidRDefault="006C341A" w:rsidP="00E74EF7">
            <w:pPr>
              <w:rPr>
                <w:rFonts w:asciiTheme="majorHAnsi" w:eastAsia="Calibri" w:hAnsiTheme="majorHAnsi" w:cstheme="majorHAnsi"/>
                <w:b/>
                <w:bCs/>
                <w:lang w:eastAsia="nl-NL" w:bidi="nl-NL"/>
              </w:rPr>
            </w:pPr>
            <w:r w:rsidRPr="00500682">
              <w:rPr>
                <w:rFonts w:asciiTheme="majorHAnsi" w:eastAsia="Calibri" w:hAnsiTheme="majorHAnsi" w:cstheme="majorHAnsi"/>
                <w:b/>
                <w:bCs/>
                <w:lang w:eastAsia="nl-NL" w:bidi="nl-NL"/>
              </w:rPr>
              <w:t>Supervision</w:t>
            </w:r>
          </w:p>
        </w:tc>
        <w:tc>
          <w:tcPr>
            <w:tcW w:w="4140" w:type="dxa"/>
          </w:tcPr>
          <w:p w14:paraId="70B7B718" w14:textId="77777777" w:rsidR="006C341A" w:rsidRPr="00500682" w:rsidRDefault="006C341A" w:rsidP="00E74EF7">
            <w:pPr>
              <w:jc w:val="both"/>
              <w:rPr>
                <w:rFonts w:asciiTheme="majorHAnsi" w:eastAsia="Calibri" w:hAnsiTheme="majorHAnsi" w:cstheme="majorHAnsi"/>
                <w:lang w:eastAsia="nl-NL" w:bidi="nl-NL"/>
              </w:rPr>
            </w:pPr>
            <w:r w:rsidRPr="00500682">
              <w:rPr>
                <w:rFonts w:asciiTheme="majorHAnsi" w:eastAsia="Calibri" w:hAnsiTheme="majorHAnsi" w:cstheme="majorHAnsi"/>
                <w:lang w:eastAsia="nl-NL" w:bidi="nl-NL"/>
              </w:rPr>
              <w:t xml:space="preserve">Directed by </w:t>
            </w:r>
            <w:r w:rsidRPr="0074239A">
              <w:rPr>
                <w:rFonts w:asciiTheme="majorHAnsi" w:eastAsia="Calibri" w:hAnsiTheme="majorHAnsi" w:cstheme="majorHAnsi"/>
                <w:lang w:eastAsia="nl-NL" w:bidi="nl-NL"/>
              </w:rPr>
              <w:t>Brink’s</w:t>
            </w:r>
            <w:r w:rsidRPr="00500682">
              <w:rPr>
                <w:rFonts w:asciiTheme="majorHAnsi" w:eastAsia="Calibri" w:hAnsiTheme="majorHAnsi" w:cstheme="majorHAnsi"/>
                <w:lang w:eastAsia="nl-NL" w:bidi="nl-NL"/>
              </w:rPr>
              <w:t xml:space="preserve"> (such as the hiring manager) </w:t>
            </w:r>
          </w:p>
        </w:tc>
        <w:tc>
          <w:tcPr>
            <w:tcW w:w="4770" w:type="dxa"/>
          </w:tcPr>
          <w:p w14:paraId="52F80070" w14:textId="77777777" w:rsidR="006C341A" w:rsidRPr="00500682" w:rsidRDefault="006C341A" w:rsidP="00E74EF7">
            <w:pPr>
              <w:jc w:val="both"/>
              <w:rPr>
                <w:rFonts w:asciiTheme="majorHAnsi" w:eastAsia="Calibri" w:hAnsiTheme="majorHAnsi" w:cstheme="majorHAnsi"/>
                <w:lang w:eastAsia="nl-NL" w:bidi="nl-NL"/>
              </w:rPr>
            </w:pPr>
            <w:r w:rsidRPr="00500682">
              <w:rPr>
                <w:rFonts w:asciiTheme="majorHAnsi" w:eastAsia="Calibri" w:hAnsiTheme="majorHAnsi" w:cstheme="majorHAnsi"/>
                <w:lang w:eastAsia="nl-NL" w:bidi="nl-NL"/>
              </w:rPr>
              <w:t>Directed by the supplier (such as the supplier account manager)</w:t>
            </w:r>
          </w:p>
        </w:tc>
      </w:tr>
      <w:tr w:rsidR="00066940" w:rsidRPr="00500682" w14:paraId="23921145" w14:textId="77777777" w:rsidTr="0051357C">
        <w:tc>
          <w:tcPr>
            <w:tcW w:w="1435" w:type="dxa"/>
          </w:tcPr>
          <w:p w14:paraId="2B2EA27D" w14:textId="6C02FB81" w:rsidR="008E318B" w:rsidRPr="00500682" w:rsidRDefault="008E318B" w:rsidP="00E74EF7">
            <w:pPr>
              <w:rPr>
                <w:rFonts w:asciiTheme="majorHAnsi" w:eastAsia="Calibri" w:hAnsiTheme="majorHAnsi" w:cstheme="majorHAnsi"/>
                <w:b/>
                <w:bCs/>
                <w:lang w:eastAsia="nl-NL" w:bidi="nl-NL"/>
              </w:rPr>
            </w:pPr>
            <w:r>
              <w:rPr>
                <w:rFonts w:asciiTheme="majorHAnsi" w:eastAsia="Calibri" w:hAnsiTheme="majorHAnsi" w:cstheme="majorHAnsi"/>
                <w:b/>
                <w:bCs/>
                <w:lang w:eastAsia="nl-NL" w:bidi="nl-NL"/>
              </w:rPr>
              <w:t>Temp</w:t>
            </w:r>
            <w:r w:rsidR="00C3555D">
              <w:rPr>
                <w:rFonts w:asciiTheme="majorHAnsi" w:eastAsia="Calibri" w:hAnsiTheme="majorHAnsi" w:cstheme="majorHAnsi"/>
                <w:b/>
                <w:bCs/>
                <w:lang w:eastAsia="nl-NL" w:bidi="nl-NL"/>
              </w:rPr>
              <w:t xml:space="preserve"> to Hire</w:t>
            </w:r>
          </w:p>
        </w:tc>
        <w:tc>
          <w:tcPr>
            <w:tcW w:w="4140" w:type="dxa"/>
            <w:shd w:val="clear" w:color="auto" w:fill="auto"/>
          </w:tcPr>
          <w:p w14:paraId="371C546D" w14:textId="696394CB" w:rsidR="008E318B" w:rsidRPr="00500682" w:rsidRDefault="00276EF9" w:rsidP="00E74EF7">
            <w:pPr>
              <w:jc w:val="both"/>
              <w:rPr>
                <w:rFonts w:asciiTheme="majorHAnsi" w:eastAsia="Calibri" w:hAnsiTheme="majorHAnsi" w:cstheme="majorHAnsi"/>
                <w:lang w:eastAsia="nl-NL" w:bidi="nl-NL"/>
              </w:rPr>
            </w:pPr>
            <w:r>
              <w:rPr>
                <w:rFonts w:asciiTheme="majorHAnsi" w:eastAsia="Calibri" w:hAnsiTheme="majorHAnsi" w:cstheme="majorHAnsi"/>
                <w:lang w:eastAsia="nl-NL" w:bidi="nl-NL"/>
              </w:rPr>
              <w:t>Contingent</w:t>
            </w:r>
            <w:r w:rsidR="00DF6AA1" w:rsidRPr="00DF6AA1">
              <w:rPr>
                <w:rFonts w:asciiTheme="majorHAnsi" w:eastAsia="Calibri" w:hAnsiTheme="majorHAnsi" w:cstheme="majorHAnsi"/>
                <w:lang w:eastAsia="nl-NL" w:bidi="nl-NL"/>
              </w:rPr>
              <w:t xml:space="preserve"> workers </w:t>
            </w:r>
            <w:r w:rsidR="00BB2739">
              <w:rPr>
                <w:rFonts w:asciiTheme="majorHAnsi" w:eastAsia="Calibri" w:hAnsiTheme="majorHAnsi" w:cstheme="majorHAnsi"/>
                <w:lang w:eastAsia="nl-NL" w:bidi="nl-NL"/>
              </w:rPr>
              <w:t>may</w:t>
            </w:r>
            <w:r w:rsidR="00DF6AA1" w:rsidRPr="00DF6AA1">
              <w:rPr>
                <w:rFonts w:asciiTheme="majorHAnsi" w:eastAsia="Calibri" w:hAnsiTheme="majorHAnsi" w:cstheme="majorHAnsi"/>
                <w:lang w:eastAsia="nl-NL" w:bidi="nl-NL"/>
              </w:rPr>
              <w:t xml:space="preserve"> convert to permanent employees at Brink’s</w:t>
            </w:r>
            <w:r w:rsidR="008725B6">
              <w:rPr>
                <w:rFonts w:asciiTheme="majorHAnsi" w:eastAsia="Calibri" w:hAnsiTheme="majorHAnsi" w:cstheme="majorHAnsi"/>
                <w:lang w:eastAsia="nl-NL" w:bidi="nl-NL"/>
              </w:rPr>
              <w:t xml:space="preserve"> unless self-employed.</w:t>
            </w:r>
          </w:p>
        </w:tc>
        <w:tc>
          <w:tcPr>
            <w:tcW w:w="4770" w:type="dxa"/>
          </w:tcPr>
          <w:p w14:paraId="54DFAA38" w14:textId="0A3766F2" w:rsidR="008E318B" w:rsidRPr="00500682" w:rsidRDefault="0050147B" w:rsidP="00E74EF7">
            <w:pPr>
              <w:jc w:val="both"/>
              <w:rPr>
                <w:rFonts w:asciiTheme="majorHAnsi" w:eastAsia="Calibri" w:hAnsiTheme="majorHAnsi" w:cstheme="majorHAnsi"/>
                <w:lang w:eastAsia="nl-NL" w:bidi="nl-NL"/>
              </w:rPr>
            </w:pPr>
            <w:r w:rsidRPr="006B13F0">
              <w:rPr>
                <w:rFonts w:asciiTheme="majorHAnsi" w:eastAsia="Calibri" w:hAnsiTheme="majorHAnsi" w:cstheme="majorHAnsi"/>
                <w:lang w:eastAsia="nl-NL" w:bidi="nl-NL"/>
              </w:rPr>
              <w:t>Brinks</w:t>
            </w:r>
            <w:r w:rsidR="00853891" w:rsidRPr="006B13F0">
              <w:rPr>
                <w:rFonts w:asciiTheme="majorHAnsi" w:eastAsia="Calibri" w:hAnsiTheme="majorHAnsi" w:cstheme="majorHAnsi"/>
                <w:lang w:eastAsia="nl-NL" w:bidi="nl-NL"/>
              </w:rPr>
              <w:t xml:space="preserve"> cannot permanently hire consultants</w:t>
            </w:r>
            <w:r w:rsidR="006B13F0" w:rsidRPr="006B13F0">
              <w:rPr>
                <w:rFonts w:asciiTheme="majorHAnsi" w:eastAsia="Calibri" w:hAnsiTheme="majorHAnsi" w:cstheme="majorHAnsi"/>
                <w:lang w:eastAsia="nl-NL" w:bidi="nl-NL"/>
              </w:rPr>
              <w:t xml:space="preserve"> unless they are willing to change employers, and this is not contractually prohibited</w:t>
            </w:r>
            <w:r w:rsidR="008725B6">
              <w:rPr>
                <w:rFonts w:asciiTheme="majorHAnsi" w:eastAsia="Calibri" w:hAnsiTheme="majorHAnsi" w:cstheme="majorHAnsi"/>
                <w:lang w:eastAsia="nl-NL" w:bidi="nl-NL"/>
              </w:rPr>
              <w:t>.</w:t>
            </w:r>
          </w:p>
        </w:tc>
      </w:tr>
      <w:tr w:rsidR="006C341A" w:rsidRPr="00500682" w14:paraId="50D49A2F" w14:textId="77777777" w:rsidTr="0051357C">
        <w:tc>
          <w:tcPr>
            <w:tcW w:w="1435" w:type="dxa"/>
          </w:tcPr>
          <w:p w14:paraId="1AE4C179" w14:textId="77777777" w:rsidR="006C341A" w:rsidRPr="00500682" w:rsidRDefault="006C341A" w:rsidP="00E74EF7">
            <w:pPr>
              <w:rPr>
                <w:rFonts w:asciiTheme="majorHAnsi" w:eastAsia="Calibri" w:hAnsiTheme="majorHAnsi" w:cstheme="majorHAnsi"/>
                <w:b/>
                <w:bCs/>
                <w:lang w:eastAsia="nl-NL" w:bidi="nl-NL"/>
              </w:rPr>
            </w:pPr>
            <w:r w:rsidRPr="00500682">
              <w:rPr>
                <w:rFonts w:asciiTheme="majorHAnsi" w:eastAsia="Calibri" w:hAnsiTheme="majorHAnsi" w:cstheme="majorHAnsi"/>
                <w:b/>
                <w:bCs/>
                <w:lang w:eastAsia="nl-NL" w:bidi="nl-NL"/>
              </w:rPr>
              <w:t>Liability</w:t>
            </w:r>
          </w:p>
        </w:tc>
        <w:tc>
          <w:tcPr>
            <w:tcW w:w="4140" w:type="dxa"/>
            <w:shd w:val="clear" w:color="auto" w:fill="auto"/>
          </w:tcPr>
          <w:p w14:paraId="54DEF461" w14:textId="43BDDE7D" w:rsidR="006C341A" w:rsidRPr="00500682" w:rsidRDefault="006C341A" w:rsidP="00E74EF7">
            <w:pPr>
              <w:jc w:val="both"/>
              <w:rPr>
                <w:rFonts w:asciiTheme="majorHAnsi" w:eastAsia="Calibri" w:hAnsiTheme="majorHAnsi" w:cstheme="majorHAnsi"/>
                <w:lang w:eastAsia="nl-NL" w:bidi="nl-NL"/>
              </w:rPr>
            </w:pPr>
            <w:r w:rsidRPr="00500682">
              <w:rPr>
                <w:rFonts w:asciiTheme="majorHAnsi" w:eastAsia="Calibri" w:hAnsiTheme="majorHAnsi" w:cstheme="majorHAnsi"/>
                <w:lang w:eastAsia="nl-NL" w:bidi="nl-NL"/>
              </w:rPr>
              <w:t xml:space="preserve">Falls on </w:t>
            </w:r>
            <w:r w:rsidRPr="0074239A">
              <w:rPr>
                <w:rFonts w:asciiTheme="majorHAnsi" w:eastAsia="Calibri" w:hAnsiTheme="majorHAnsi" w:cstheme="majorHAnsi"/>
                <w:lang w:eastAsia="nl-NL" w:bidi="nl-NL"/>
              </w:rPr>
              <w:t xml:space="preserve">Brink’s </w:t>
            </w:r>
            <w:r w:rsidRPr="00500682">
              <w:rPr>
                <w:rFonts w:asciiTheme="majorHAnsi" w:eastAsia="Calibri" w:hAnsiTheme="majorHAnsi" w:cstheme="majorHAnsi"/>
                <w:lang w:eastAsia="nl-NL" w:bidi="nl-NL"/>
              </w:rPr>
              <w:t>(</w:t>
            </w:r>
            <w:r w:rsidRPr="0074239A">
              <w:rPr>
                <w:rFonts w:asciiTheme="majorHAnsi" w:eastAsia="Calibri" w:hAnsiTheme="majorHAnsi" w:cstheme="majorHAnsi"/>
                <w:lang w:eastAsia="nl-NL" w:bidi="nl-NL"/>
              </w:rPr>
              <w:t>Brink’s</w:t>
            </w:r>
            <w:r w:rsidRPr="00500682">
              <w:rPr>
                <w:rFonts w:asciiTheme="majorHAnsi" w:eastAsia="Calibri" w:hAnsiTheme="majorHAnsi" w:cstheme="majorHAnsi"/>
                <w:lang w:eastAsia="nl-NL" w:bidi="nl-NL"/>
              </w:rPr>
              <w:t xml:space="preserve"> is liable and responsible for the delivery and quality of the outcome)</w:t>
            </w:r>
          </w:p>
        </w:tc>
        <w:tc>
          <w:tcPr>
            <w:tcW w:w="4770" w:type="dxa"/>
          </w:tcPr>
          <w:p w14:paraId="08521AA3" w14:textId="77777777" w:rsidR="006C341A" w:rsidRPr="00500682" w:rsidRDefault="006C341A" w:rsidP="00E74EF7">
            <w:pPr>
              <w:jc w:val="both"/>
              <w:rPr>
                <w:rFonts w:asciiTheme="majorHAnsi" w:eastAsia="Calibri" w:hAnsiTheme="majorHAnsi" w:cstheme="majorHAnsi"/>
                <w:lang w:eastAsia="nl-NL" w:bidi="nl-NL"/>
              </w:rPr>
            </w:pPr>
            <w:r w:rsidRPr="00500682">
              <w:rPr>
                <w:rFonts w:asciiTheme="majorHAnsi" w:eastAsia="Calibri" w:hAnsiTheme="majorHAnsi" w:cstheme="majorHAnsi"/>
                <w:lang w:eastAsia="nl-NL" w:bidi="nl-NL"/>
              </w:rPr>
              <w:t>Falls on the supplier (</w:t>
            </w:r>
            <w:r w:rsidRPr="0074239A">
              <w:rPr>
                <w:rFonts w:asciiTheme="majorHAnsi" w:eastAsia="Calibri" w:hAnsiTheme="majorHAnsi" w:cstheme="majorHAnsi"/>
                <w:lang w:eastAsia="nl-NL" w:bidi="nl-NL"/>
              </w:rPr>
              <w:t>Brink’s</w:t>
            </w:r>
            <w:r w:rsidRPr="00500682">
              <w:rPr>
                <w:rFonts w:asciiTheme="majorHAnsi" w:eastAsia="Calibri" w:hAnsiTheme="majorHAnsi" w:cstheme="majorHAnsi"/>
                <w:lang w:eastAsia="nl-NL" w:bidi="nl-NL"/>
              </w:rPr>
              <w:t xml:space="preserve"> is not liable and responsible for the delivery and quality of the outcome)</w:t>
            </w:r>
          </w:p>
        </w:tc>
      </w:tr>
      <w:tr w:rsidR="006C341A" w:rsidRPr="00500682" w14:paraId="0259691B" w14:textId="77777777" w:rsidTr="0051357C">
        <w:tc>
          <w:tcPr>
            <w:tcW w:w="1435" w:type="dxa"/>
          </w:tcPr>
          <w:p w14:paraId="072BD50B" w14:textId="77777777" w:rsidR="006C341A" w:rsidRPr="00500682" w:rsidRDefault="006C341A" w:rsidP="00E74EF7">
            <w:pPr>
              <w:rPr>
                <w:rFonts w:asciiTheme="majorHAnsi" w:eastAsia="Calibri" w:hAnsiTheme="majorHAnsi" w:cstheme="majorHAnsi"/>
                <w:b/>
                <w:bCs/>
                <w:lang w:eastAsia="nl-NL" w:bidi="nl-NL"/>
              </w:rPr>
            </w:pPr>
            <w:r w:rsidRPr="00500682">
              <w:rPr>
                <w:rFonts w:asciiTheme="majorHAnsi" w:eastAsia="Calibri" w:hAnsiTheme="majorHAnsi" w:cstheme="majorHAnsi"/>
                <w:b/>
                <w:bCs/>
                <w:lang w:eastAsia="nl-NL" w:bidi="nl-NL"/>
              </w:rPr>
              <w:t>Examples</w:t>
            </w:r>
          </w:p>
        </w:tc>
        <w:tc>
          <w:tcPr>
            <w:tcW w:w="4140" w:type="dxa"/>
          </w:tcPr>
          <w:p w14:paraId="3798C3EA" w14:textId="2C5023BD" w:rsidR="006C341A" w:rsidRPr="00500682" w:rsidRDefault="006C341A" w:rsidP="00E74EF7">
            <w:pPr>
              <w:jc w:val="both"/>
              <w:rPr>
                <w:rFonts w:asciiTheme="majorHAnsi" w:eastAsia="Calibri" w:hAnsiTheme="majorHAnsi" w:cstheme="majorHAnsi"/>
                <w:lang w:eastAsia="nl-NL" w:bidi="nl-NL"/>
              </w:rPr>
            </w:pPr>
            <w:r w:rsidRPr="0074239A">
              <w:rPr>
                <w:rFonts w:asciiTheme="majorHAnsi" w:eastAsia="Calibri" w:hAnsiTheme="majorHAnsi" w:cstheme="majorHAnsi"/>
                <w:lang w:eastAsia="nl-NL" w:bidi="nl-NL"/>
              </w:rPr>
              <w:t>Brink’s</w:t>
            </w:r>
            <w:r w:rsidRPr="00500682">
              <w:rPr>
                <w:rFonts w:asciiTheme="majorHAnsi" w:eastAsia="Calibri" w:hAnsiTheme="majorHAnsi" w:cstheme="majorHAnsi"/>
                <w:lang w:eastAsia="nl-NL" w:bidi="nl-NL"/>
              </w:rPr>
              <w:t xml:space="preserve"> is hiring a web developer paid by the hour under the direct supervision of the hiring manager for 5 months. </w:t>
            </w:r>
            <w:r w:rsidR="00497784" w:rsidRPr="00500682">
              <w:rPr>
                <w:rFonts w:asciiTheme="majorHAnsi" w:eastAsia="Calibri" w:hAnsiTheme="majorHAnsi" w:cstheme="majorHAnsi"/>
                <w:lang w:eastAsia="nl-NL" w:bidi="nl-NL"/>
              </w:rPr>
              <w:t>The worker</w:t>
            </w:r>
            <w:r w:rsidRPr="00500682">
              <w:rPr>
                <w:rFonts w:asciiTheme="majorHAnsi" w:eastAsia="Calibri" w:hAnsiTheme="majorHAnsi" w:cstheme="majorHAnsi"/>
                <w:lang w:eastAsia="nl-NL" w:bidi="nl-NL"/>
              </w:rPr>
              <w:t xml:space="preserve"> is not liable for the quality of his work. Since this worker is under </w:t>
            </w:r>
            <w:proofErr w:type="gramStart"/>
            <w:r w:rsidRPr="00500682">
              <w:rPr>
                <w:rFonts w:asciiTheme="majorHAnsi" w:eastAsia="Calibri" w:hAnsiTheme="majorHAnsi" w:cstheme="majorHAnsi"/>
                <w:lang w:eastAsia="nl-NL" w:bidi="nl-NL"/>
              </w:rPr>
              <w:t>direct</w:t>
            </w:r>
            <w:proofErr w:type="gramEnd"/>
            <w:r w:rsidRPr="00500682">
              <w:rPr>
                <w:rFonts w:asciiTheme="majorHAnsi" w:eastAsia="Calibri" w:hAnsiTheme="majorHAnsi" w:cstheme="majorHAnsi"/>
                <w:lang w:eastAsia="nl-NL" w:bidi="nl-NL"/>
              </w:rPr>
              <w:t xml:space="preserve"> supervision of a </w:t>
            </w:r>
            <w:r w:rsidRPr="0074239A">
              <w:rPr>
                <w:rFonts w:asciiTheme="majorHAnsi" w:eastAsia="Calibri" w:hAnsiTheme="majorHAnsi" w:cstheme="majorHAnsi"/>
                <w:lang w:eastAsia="nl-NL" w:bidi="nl-NL"/>
              </w:rPr>
              <w:t>Brink’s</w:t>
            </w:r>
            <w:r w:rsidRPr="00500682">
              <w:rPr>
                <w:rFonts w:asciiTheme="majorHAnsi" w:eastAsia="Calibri" w:hAnsiTheme="majorHAnsi" w:cstheme="majorHAnsi"/>
                <w:lang w:eastAsia="nl-NL" w:bidi="nl-NL"/>
              </w:rPr>
              <w:t xml:space="preserve"> manager, </w:t>
            </w:r>
            <w:r w:rsidRPr="0074239A">
              <w:rPr>
                <w:rFonts w:asciiTheme="majorHAnsi" w:eastAsia="Calibri" w:hAnsiTheme="majorHAnsi" w:cstheme="majorHAnsi"/>
                <w:lang w:eastAsia="nl-NL" w:bidi="nl-NL"/>
              </w:rPr>
              <w:t>Brink’s</w:t>
            </w:r>
            <w:r w:rsidRPr="00500682">
              <w:rPr>
                <w:rFonts w:asciiTheme="majorHAnsi" w:eastAsia="Calibri" w:hAnsiTheme="majorHAnsi" w:cstheme="majorHAnsi"/>
                <w:lang w:eastAsia="nl-NL" w:bidi="nl-NL"/>
              </w:rPr>
              <w:t xml:space="preserve"> remains owner of the Intellectual </w:t>
            </w:r>
            <w:r w:rsidR="00BB2739">
              <w:rPr>
                <w:rFonts w:asciiTheme="majorHAnsi" w:eastAsia="Calibri" w:hAnsiTheme="majorHAnsi" w:cstheme="majorHAnsi"/>
                <w:lang w:eastAsia="nl-NL" w:bidi="nl-NL"/>
              </w:rPr>
              <w:t>P</w:t>
            </w:r>
            <w:r w:rsidRPr="00500682">
              <w:rPr>
                <w:rFonts w:asciiTheme="majorHAnsi" w:eastAsia="Calibri" w:hAnsiTheme="majorHAnsi" w:cstheme="majorHAnsi"/>
                <w:lang w:eastAsia="nl-NL" w:bidi="nl-NL"/>
              </w:rPr>
              <w:t xml:space="preserve">roperty but also responsible for the quality of the work. </w:t>
            </w:r>
          </w:p>
        </w:tc>
        <w:tc>
          <w:tcPr>
            <w:tcW w:w="4770" w:type="dxa"/>
          </w:tcPr>
          <w:p w14:paraId="3C3BB4E5" w14:textId="533B1C83" w:rsidR="006C341A" w:rsidRDefault="006C341A" w:rsidP="00E74EF7">
            <w:pPr>
              <w:jc w:val="both"/>
              <w:rPr>
                <w:rFonts w:asciiTheme="majorHAnsi" w:eastAsia="Calibri" w:hAnsiTheme="majorHAnsi" w:cstheme="majorBidi"/>
                <w:lang w:eastAsia="nl-NL" w:bidi="nl-NL"/>
              </w:rPr>
            </w:pPr>
            <w:r w:rsidRPr="31C84DF2">
              <w:rPr>
                <w:rFonts w:asciiTheme="majorHAnsi" w:eastAsia="Calibri" w:hAnsiTheme="majorHAnsi" w:cstheme="majorBidi"/>
                <w:lang w:eastAsia="nl-NL" w:bidi="nl-NL"/>
              </w:rPr>
              <w:t xml:space="preserve">A firm hired to deliver a website for Brink’s within one year. The specifications </w:t>
            </w:r>
            <w:r w:rsidR="00E7770A">
              <w:rPr>
                <w:rFonts w:asciiTheme="majorHAnsi" w:eastAsia="Calibri" w:hAnsiTheme="majorHAnsi" w:cstheme="majorBidi"/>
                <w:lang w:eastAsia="nl-NL" w:bidi="nl-NL"/>
              </w:rPr>
              <w:t xml:space="preserve">are clearly defined for </w:t>
            </w:r>
            <w:r w:rsidRPr="31C84DF2">
              <w:rPr>
                <w:rFonts w:asciiTheme="majorHAnsi" w:eastAsia="Calibri" w:hAnsiTheme="majorHAnsi" w:cstheme="majorBidi"/>
                <w:lang w:eastAsia="nl-NL" w:bidi="nl-NL"/>
              </w:rPr>
              <w:t>the website (such as content, UX, or SEO)</w:t>
            </w:r>
            <w:r w:rsidR="7881D3FE" w:rsidRPr="31C84DF2">
              <w:rPr>
                <w:rFonts w:asciiTheme="majorHAnsi" w:eastAsia="Calibri" w:hAnsiTheme="majorHAnsi" w:cstheme="majorBidi"/>
                <w:lang w:eastAsia="nl-NL" w:bidi="nl-NL"/>
              </w:rPr>
              <w:t>.</w:t>
            </w:r>
            <w:r w:rsidRPr="31C84DF2">
              <w:rPr>
                <w:rFonts w:asciiTheme="majorHAnsi" w:eastAsia="Calibri" w:hAnsiTheme="majorHAnsi" w:cstheme="majorBidi"/>
                <w:lang w:eastAsia="nl-NL" w:bidi="nl-NL"/>
              </w:rPr>
              <w:t xml:space="preserve"> Payment is</w:t>
            </w:r>
            <w:r w:rsidR="00577A70">
              <w:rPr>
                <w:rFonts w:asciiTheme="majorHAnsi" w:eastAsia="Calibri" w:hAnsiTheme="majorHAnsi" w:cstheme="majorBidi"/>
                <w:lang w:eastAsia="nl-NL" w:bidi="nl-NL"/>
              </w:rPr>
              <w:t xml:space="preserve"> </w:t>
            </w:r>
            <w:r w:rsidR="00E7770A">
              <w:rPr>
                <w:rFonts w:asciiTheme="majorHAnsi" w:eastAsia="Calibri" w:hAnsiTheme="majorHAnsi" w:cstheme="majorBidi"/>
                <w:lang w:eastAsia="nl-NL" w:bidi="nl-NL"/>
              </w:rPr>
              <w:t>r</w:t>
            </w:r>
            <w:r w:rsidRPr="31C84DF2">
              <w:rPr>
                <w:rFonts w:asciiTheme="majorHAnsi" w:eastAsia="Calibri" w:hAnsiTheme="majorHAnsi" w:cstheme="majorBidi"/>
                <w:lang w:eastAsia="nl-NL" w:bidi="nl-NL"/>
              </w:rPr>
              <w:t xml:space="preserve">eleased upon completing milestones with specific deliverables. </w:t>
            </w:r>
          </w:p>
          <w:p w14:paraId="26A1B438" w14:textId="77777777" w:rsidR="008E318B" w:rsidRDefault="008E318B" w:rsidP="00E74EF7">
            <w:pPr>
              <w:jc w:val="both"/>
              <w:rPr>
                <w:rFonts w:asciiTheme="majorHAnsi" w:eastAsia="Calibri" w:hAnsiTheme="majorHAnsi" w:cstheme="majorHAnsi"/>
                <w:lang w:eastAsia="nl-NL" w:bidi="nl-NL"/>
              </w:rPr>
            </w:pPr>
          </w:p>
          <w:p w14:paraId="7AA0B555" w14:textId="77777777" w:rsidR="008E318B" w:rsidRPr="00500682" w:rsidRDefault="008E318B" w:rsidP="00E74EF7">
            <w:pPr>
              <w:jc w:val="both"/>
              <w:rPr>
                <w:rFonts w:asciiTheme="majorHAnsi" w:eastAsia="Calibri" w:hAnsiTheme="majorHAnsi" w:cstheme="majorHAnsi"/>
                <w:lang w:eastAsia="nl-NL" w:bidi="nl-NL"/>
              </w:rPr>
            </w:pPr>
          </w:p>
        </w:tc>
      </w:tr>
    </w:tbl>
    <w:p w14:paraId="00A5E1B2" w14:textId="784400DC" w:rsidR="006C341A" w:rsidRDefault="006C341A" w:rsidP="006C341A">
      <w:pPr>
        <w:jc w:val="both"/>
        <w:rPr>
          <w:rFonts w:asciiTheme="majorHAnsi" w:eastAsia="Calibri" w:hAnsiTheme="majorHAnsi" w:cstheme="majorHAnsi"/>
          <w:i/>
          <w:iCs/>
          <w:sz w:val="22"/>
          <w:szCs w:val="22"/>
          <w:lang w:eastAsia="nl-NL" w:bidi="nl-NL"/>
        </w:rPr>
      </w:pPr>
      <w:r w:rsidRPr="00500682">
        <w:rPr>
          <w:rFonts w:asciiTheme="majorHAnsi" w:eastAsia="Calibri" w:hAnsiTheme="majorHAnsi" w:cstheme="majorHAnsi"/>
          <w:i/>
          <w:iCs/>
          <w:sz w:val="22"/>
          <w:szCs w:val="22"/>
          <w:lang w:eastAsia="nl-NL" w:bidi="nl-NL"/>
        </w:rPr>
        <w:t xml:space="preserve">* There could be a specific situation when an individual is paid based on both the amount of time &amp; material worked and based on a delivery of at least one outcome. In this scenario, the respective resources will be treated as </w:t>
      </w:r>
      <w:r w:rsidR="00A82227">
        <w:rPr>
          <w:rFonts w:asciiTheme="majorHAnsi" w:eastAsia="Calibri" w:hAnsiTheme="majorHAnsi" w:cstheme="majorHAnsi"/>
          <w:i/>
          <w:iCs/>
          <w:sz w:val="22"/>
          <w:szCs w:val="22"/>
          <w:lang w:eastAsia="nl-NL" w:bidi="nl-NL"/>
        </w:rPr>
        <w:t>Contingent Worker</w:t>
      </w:r>
      <w:r w:rsidR="005A5861">
        <w:rPr>
          <w:rFonts w:asciiTheme="majorHAnsi" w:eastAsia="Calibri" w:hAnsiTheme="majorHAnsi" w:cstheme="majorHAnsi"/>
          <w:i/>
          <w:iCs/>
          <w:sz w:val="22"/>
          <w:szCs w:val="22"/>
          <w:lang w:eastAsia="nl-NL" w:bidi="nl-NL"/>
        </w:rPr>
        <w:t xml:space="preserve"> (within scope)</w:t>
      </w:r>
      <w:r w:rsidRPr="00500682">
        <w:rPr>
          <w:rFonts w:asciiTheme="majorHAnsi" w:eastAsia="Calibri" w:hAnsiTheme="majorHAnsi" w:cstheme="majorHAnsi"/>
          <w:i/>
          <w:iCs/>
          <w:sz w:val="22"/>
          <w:szCs w:val="22"/>
          <w:lang w:eastAsia="nl-NL" w:bidi="nl-NL"/>
        </w:rPr>
        <w:t xml:space="preserve"> unless exceptional approval is provided by </w:t>
      </w:r>
      <w:r w:rsidR="00A466FD">
        <w:rPr>
          <w:rFonts w:asciiTheme="majorHAnsi" w:eastAsia="Calibri" w:hAnsiTheme="majorHAnsi" w:cstheme="majorHAnsi"/>
          <w:i/>
          <w:iCs/>
          <w:sz w:val="22"/>
          <w:szCs w:val="22"/>
          <w:lang w:eastAsia="nl-NL" w:bidi="nl-NL"/>
        </w:rPr>
        <w:t xml:space="preserve">local </w:t>
      </w:r>
      <w:r w:rsidRPr="00500682">
        <w:rPr>
          <w:rFonts w:asciiTheme="majorHAnsi" w:eastAsia="Calibri" w:hAnsiTheme="majorHAnsi" w:cstheme="majorHAnsi"/>
          <w:i/>
          <w:iCs/>
          <w:sz w:val="22"/>
          <w:szCs w:val="22"/>
          <w:lang w:eastAsia="nl-NL" w:bidi="nl-NL"/>
        </w:rPr>
        <w:t>HR</w:t>
      </w:r>
      <w:r w:rsidR="00A466FD">
        <w:rPr>
          <w:rFonts w:asciiTheme="majorHAnsi" w:eastAsia="Calibri" w:hAnsiTheme="majorHAnsi" w:cstheme="majorHAnsi"/>
          <w:i/>
          <w:iCs/>
          <w:sz w:val="22"/>
          <w:szCs w:val="22"/>
          <w:lang w:eastAsia="nl-NL" w:bidi="nl-NL"/>
        </w:rPr>
        <w:t xml:space="preserve"> Business Partner</w:t>
      </w:r>
      <w:r w:rsidR="00A82227">
        <w:rPr>
          <w:rFonts w:asciiTheme="majorHAnsi" w:eastAsia="Calibri" w:hAnsiTheme="majorHAnsi" w:cstheme="majorHAnsi"/>
          <w:i/>
          <w:iCs/>
          <w:sz w:val="22"/>
          <w:szCs w:val="22"/>
          <w:lang w:eastAsia="nl-NL" w:bidi="nl-NL"/>
        </w:rPr>
        <w:t>.</w:t>
      </w:r>
    </w:p>
    <w:p w14:paraId="76D00981" w14:textId="77777777" w:rsidR="006C341A" w:rsidRPr="0074239A" w:rsidRDefault="006C341A" w:rsidP="006C341A">
      <w:pPr>
        <w:jc w:val="both"/>
        <w:rPr>
          <w:rFonts w:asciiTheme="majorHAnsi" w:eastAsia="Calibri" w:hAnsiTheme="majorHAnsi" w:cstheme="majorHAnsi"/>
          <w:b/>
          <w:bCs/>
          <w:sz w:val="22"/>
          <w:szCs w:val="22"/>
          <w:lang w:eastAsia="nl-NL" w:bidi="nl-NL"/>
        </w:rPr>
      </w:pPr>
      <w:bookmarkStart w:id="16" w:name="_Toc64992947"/>
    </w:p>
    <w:bookmarkEnd w:id="16"/>
    <w:p w14:paraId="1BFF01C5" w14:textId="77777777" w:rsidR="00005666" w:rsidRDefault="00DD1CA5" w:rsidP="00005666">
      <w:pPr>
        <w:spacing w:line="259" w:lineRule="auto"/>
        <w:jc w:val="both"/>
        <w:rPr>
          <w:rFonts w:asciiTheme="majorHAnsi" w:hAnsiTheme="majorHAnsi" w:cstheme="majorBidi"/>
          <w:b/>
          <w:bCs/>
          <w:sz w:val="22"/>
          <w:szCs w:val="22"/>
          <w:lang w:eastAsia="nl-NL" w:bidi="nl-NL"/>
        </w:rPr>
      </w:pPr>
      <w:r w:rsidRPr="0051357C">
        <w:rPr>
          <w:rFonts w:asciiTheme="majorHAnsi" w:hAnsiTheme="majorHAnsi" w:cstheme="majorBidi"/>
          <w:b/>
          <w:bCs/>
          <w:sz w:val="22"/>
          <w:szCs w:val="22"/>
          <w:lang w:eastAsia="nl-NL" w:bidi="nl-NL"/>
        </w:rPr>
        <w:t xml:space="preserve">For consulting </w:t>
      </w:r>
      <w:r w:rsidR="00C47FFD">
        <w:rPr>
          <w:rFonts w:asciiTheme="majorHAnsi" w:hAnsiTheme="majorHAnsi" w:cstheme="majorBidi"/>
          <w:b/>
          <w:bCs/>
          <w:sz w:val="22"/>
          <w:szCs w:val="22"/>
          <w:lang w:eastAsia="nl-NL" w:bidi="nl-NL"/>
        </w:rPr>
        <w:t>services</w:t>
      </w:r>
      <w:r w:rsidRPr="0051357C">
        <w:rPr>
          <w:rFonts w:asciiTheme="majorHAnsi" w:hAnsiTheme="majorHAnsi" w:cstheme="majorBidi"/>
          <w:b/>
          <w:bCs/>
          <w:sz w:val="22"/>
          <w:szCs w:val="22"/>
          <w:lang w:eastAsia="nl-NL" w:bidi="nl-NL"/>
        </w:rPr>
        <w:t>, please refer to the Global Professional Services Policy.</w:t>
      </w:r>
    </w:p>
    <w:p w14:paraId="48C13321" w14:textId="3666ACC6" w:rsidR="004E6945" w:rsidRPr="00852C02" w:rsidRDefault="008E0A00" w:rsidP="00005666">
      <w:pPr>
        <w:pStyle w:val="Heading1"/>
        <w:rPr>
          <w:rFonts w:eastAsia="Calibri"/>
          <w:color w:val="auto"/>
          <w:lang w:eastAsia="nl-NL" w:bidi="nl-NL"/>
        </w:rPr>
      </w:pPr>
      <w:bookmarkStart w:id="17" w:name="_Toc186790731"/>
      <w:r w:rsidRPr="00852C02">
        <w:rPr>
          <w:color w:val="auto"/>
        </w:rPr>
        <w:t xml:space="preserve">RULES FOR </w:t>
      </w:r>
      <w:r w:rsidR="00903A49" w:rsidRPr="00852C02">
        <w:rPr>
          <w:color w:val="auto"/>
        </w:rPr>
        <w:t xml:space="preserve">ENGAGING </w:t>
      </w:r>
      <w:r w:rsidRPr="00852C02">
        <w:rPr>
          <w:color w:val="auto"/>
        </w:rPr>
        <w:t>CONTINGENT WORKERS</w:t>
      </w:r>
      <w:bookmarkEnd w:id="17"/>
    </w:p>
    <w:p w14:paraId="79464173" w14:textId="43BEC508" w:rsidR="003A6BF9" w:rsidRPr="00D91457" w:rsidRDefault="009872EC" w:rsidP="0051357C">
      <w:pPr>
        <w:pStyle w:val="Heading2"/>
        <w:ind w:left="360"/>
        <w:rPr>
          <w:sz w:val="22"/>
          <w:szCs w:val="22"/>
        </w:rPr>
      </w:pPr>
      <w:bookmarkStart w:id="18" w:name="_Toc186790732"/>
      <w:r w:rsidRPr="3766A6B7">
        <w:rPr>
          <w:color w:val="auto"/>
          <w:sz w:val="22"/>
          <w:szCs w:val="22"/>
        </w:rPr>
        <w:t xml:space="preserve">Overall </w:t>
      </w:r>
      <w:r w:rsidR="00B72AB4" w:rsidRPr="3766A6B7">
        <w:rPr>
          <w:color w:val="auto"/>
          <w:sz w:val="22"/>
          <w:szCs w:val="22"/>
        </w:rPr>
        <w:t>Decision-Making</w:t>
      </w:r>
      <w:r w:rsidRPr="3766A6B7">
        <w:rPr>
          <w:color w:val="auto"/>
          <w:sz w:val="22"/>
          <w:szCs w:val="22"/>
        </w:rPr>
        <w:t xml:space="preserve"> Process</w:t>
      </w:r>
      <w:bookmarkStart w:id="19" w:name="_Toc179490785"/>
      <w:bookmarkStart w:id="20" w:name="_Toc179490891"/>
      <w:bookmarkStart w:id="21" w:name="_Toc179490963"/>
      <w:bookmarkStart w:id="22" w:name="_Toc179491278"/>
      <w:bookmarkStart w:id="23" w:name="_Toc179491319"/>
      <w:bookmarkStart w:id="24" w:name="_Toc179492945"/>
      <w:bookmarkStart w:id="25" w:name="_Toc179490892"/>
      <w:bookmarkStart w:id="26" w:name="_Toc179491320"/>
      <w:bookmarkStart w:id="27" w:name="_Toc179492946"/>
      <w:bookmarkEnd w:id="19"/>
      <w:bookmarkEnd w:id="20"/>
      <w:bookmarkEnd w:id="21"/>
      <w:bookmarkEnd w:id="22"/>
      <w:bookmarkEnd w:id="23"/>
      <w:bookmarkEnd w:id="24"/>
      <w:bookmarkEnd w:id="25"/>
      <w:bookmarkEnd w:id="26"/>
      <w:bookmarkEnd w:id="27"/>
      <w:bookmarkEnd w:id="18"/>
    </w:p>
    <w:p w14:paraId="3EEAE3FB" w14:textId="54D4FF06" w:rsidR="009872EC" w:rsidRDefault="009872EC" w:rsidP="003A6BF9">
      <w:pPr>
        <w:rPr>
          <w:rFonts w:asciiTheme="majorHAnsi" w:hAnsiTheme="majorHAnsi" w:cstheme="majorBidi"/>
          <w:sz w:val="22"/>
          <w:szCs w:val="22"/>
        </w:rPr>
      </w:pPr>
      <w:r w:rsidRPr="0051357C">
        <w:rPr>
          <w:rFonts w:asciiTheme="majorHAnsi" w:hAnsiTheme="majorHAnsi" w:cstheme="majorBidi"/>
          <w:sz w:val="22"/>
          <w:szCs w:val="22"/>
        </w:rPr>
        <w:t xml:space="preserve">The decision-making process below is </w:t>
      </w:r>
      <w:r w:rsidR="00BD770B">
        <w:rPr>
          <w:rFonts w:asciiTheme="majorHAnsi" w:hAnsiTheme="majorHAnsi" w:cstheme="majorBidi"/>
          <w:sz w:val="22"/>
          <w:szCs w:val="22"/>
        </w:rPr>
        <w:t xml:space="preserve">utilized </w:t>
      </w:r>
      <w:r w:rsidRPr="0051357C">
        <w:rPr>
          <w:rFonts w:asciiTheme="majorHAnsi" w:hAnsiTheme="majorHAnsi" w:cstheme="majorBidi"/>
          <w:sz w:val="22"/>
          <w:szCs w:val="22"/>
        </w:rPr>
        <w:t xml:space="preserve">when a need for </w:t>
      </w:r>
      <w:r w:rsidR="00276EF9">
        <w:rPr>
          <w:rFonts w:asciiTheme="majorHAnsi" w:hAnsiTheme="majorHAnsi" w:cstheme="majorBidi"/>
          <w:sz w:val="22"/>
          <w:szCs w:val="22"/>
        </w:rPr>
        <w:t xml:space="preserve">a </w:t>
      </w:r>
      <w:r w:rsidR="007E7BBC">
        <w:rPr>
          <w:rFonts w:asciiTheme="majorHAnsi" w:hAnsiTheme="majorHAnsi" w:cstheme="majorBidi"/>
          <w:sz w:val="22"/>
          <w:szCs w:val="22"/>
        </w:rPr>
        <w:t>C</w:t>
      </w:r>
      <w:r w:rsidR="00276EF9">
        <w:rPr>
          <w:rFonts w:asciiTheme="majorHAnsi" w:hAnsiTheme="majorHAnsi" w:cstheme="majorBidi"/>
          <w:sz w:val="22"/>
          <w:szCs w:val="22"/>
        </w:rPr>
        <w:t>ontingent</w:t>
      </w:r>
      <w:r w:rsidRPr="0051357C">
        <w:rPr>
          <w:rFonts w:asciiTheme="majorHAnsi" w:hAnsiTheme="majorHAnsi" w:cstheme="majorBidi"/>
          <w:sz w:val="22"/>
          <w:szCs w:val="22"/>
        </w:rPr>
        <w:t xml:space="preserve"> </w:t>
      </w:r>
      <w:r w:rsidR="007E7BBC">
        <w:rPr>
          <w:rFonts w:asciiTheme="majorHAnsi" w:hAnsiTheme="majorHAnsi" w:cstheme="majorBidi"/>
          <w:sz w:val="22"/>
          <w:szCs w:val="22"/>
        </w:rPr>
        <w:t>W</w:t>
      </w:r>
      <w:r w:rsidRPr="0051357C">
        <w:rPr>
          <w:rFonts w:asciiTheme="majorHAnsi" w:hAnsiTheme="majorHAnsi" w:cstheme="majorBidi"/>
          <w:sz w:val="22"/>
          <w:szCs w:val="22"/>
        </w:rPr>
        <w:t>orker is identified:</w:t>
      </w:r>
    </w:p>
    <w:p w14:paraId="2F23029A" w14:textId="0A35833C" w:rsidR="003A3A91" w:rsidRDefault="00C4299D" w:rsidP="003A6BF9">
      <w:pPr>
        <w:rPr>
          <w:rFonts w:asciiTheme="majorHAnsi" w:hAnsiTheme="majorHAnsi" w:cstheme="majorBidi"/>
          <w:sz w:val="22"/>
          <w:szCs w:val="22"/>
        </w:rPr>
      </w:pPr>
      <w:r w:rsidRPr="00134918">
        <w:rPr>
          <w:rFonts w:asciiTheme="majorHAnsi" w:hAnsiTheme="majorHAnsi" w:cstheme="majorBidi"/>
          <w:noProof/>
          <w:sz w:val="22"/>
          <w:szCs w:val="22"/>
        </w:rPr>
        <w:drawing>
          <wp:anchor distT="0" distB="0" distL="114300" distR="114300" simplePos="0" relativeHeight="251656192" behindDoc="0" locked="0" layoutInCell="1" allowOverlap="1" wp14:anchorId="767144AF" wp14:editId="01DAF835">
            <wp:simplePos x="0" y="0"/>
            <wp:positionH relativeFrom="margin">
              <wp:align>center</wp:align>
            </wp:positionH>
            <wp:positionV relativeFrom="paragraph">
              <wp:posOffset>193040</wp:posOffset>
            </wp:positionV>
            <wp:extent cx="6332855" cy="3644900"/>
            <wp:effectExtent l="0" t="0" r="0" b="0"/>
            <wp:wrapTopAndBottom/>
            <wp:docPr id="70214483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44835" name="Picture 1" descr="A diagram of a company&#10;&#10;Description automatically generated"/>
                    <pic:cNvPicPr/>
                  </pic:nvPicPr>
                  <pic:blipFill>
                    <a:blip r:embed="rId11"/>
                    <a:stretch>
                      <a:fillRect/>
                    </a:stretch>
                  </pic:blipFill>
                  <pic:spPr>
                    <a:xfrm>
                      <a:off x="0" y="0"/>
                      <a:ext cx="6332855" cy="3644900"/>
                    </a:xfrm>
                    <a:prstGeom prst="rect">
                      <a:avLst/>
                    </a:prstGeom>
                  </pic:spPr>
                </pic:pic>
              </a:graphicData>
            </a:graphic>
            <wp14:sizeRelH relativeFrom="margin">
              <wp14:pctWidth>0</wp14:pctWidth>
            </wp14:sizeRelH>
            <wp14:sizeRelV relativeFrom="margin">
              <wp14:pctHeight>0</wp14:pctHeight>
            </wp14:sizeRelV>
          </wp:anchor>
        </w:drawing>
      </w:r>
    </w:p>
    <w:p w14:paraId="219FCB6D" w14:textId="545292BB" w:rsidR="009872EC" w:rsidRDefault="009872EC" w:rsidP="009872EC"/>
    <w:p w14:paraId="261D3E7C" w14:textId="77777777" w:rsidR="009872EC" w:rsidRPr="0051357C" w:rsidRDefault="009872EC" w:rsidP="0051357C"/>
    <w:p w14:paraId="783A7951" w14:textId="3C628143" w:rsidR="002D03F2" w:rsidRDefault="002D03F2" w:rsidP="002D03F2">
      <w:pPr>
        <w:pStyle w:val="Heading2"/>
        <w:ind w:left="360"/>
        <w:rPr>
          <w:color w:val="auto"/>
          <w:sz w:val="22"/>
          <w:szCs w:val="22"/>
        </w:rPr>
      </w:pPr>
      <w:bookmarkStart w:id="28" w:name="_Toc186790733"/>
      <w:r w:rsidRPr="0051357C">
        <w:rPr>
          <w:color w:val="auto"/>
          <w:sz w:val="22"/>
          <w:szCs w:val="22"/>
        </w:rPr>
        <w:t>Global Preferred Supplier List</w:t>
      </w:r>
      <w:bookmarkEnd w:id="28"/>
    </w:p>
    <w:p w14:paraId="4B14034A" w14:textId="45E5A4C6" w:rsidR="002D03F2" w:rsidRPr="0051357C" w:rsidRDefault="002D03F2" w:rsidP="0051357C"/>
    <w:p w14:paraId="515A07E4" w14:textId="1608A89F" w:rsidR="002D03F2" w:rsidRPr="0074239A" w:rsidRDefault="00237CA9" w:rsidP="002D03F2">
      <w:pPr>
        <w:ind w:left="360"/>
        <w:rPr>
          <w:rFonts w:asciiTheme="majorHAnsi" w:eastAsia="SimHei" w:hAnsiTheme="majorHAnsi" w:cstheme="majorBidi"/>
          <w:sz w:val="22"/>
          <w:szCs w:val="22"/>
        </w:rPr>
      </w:pPr>
      <w:r w:rsidRPr="3766A6B7">
        <w:rPr>
          <w:rFonts w:asciiTheme="majorHAnsi" w:eastAsia="SimHei" w:hAnsiTheme="majorHAnsi" w:cstheme="majorBidi"/>
          <w:sz w:val="22"/>
          <w:szCs w:val="22"/>
        </w:rPr>
        <w:t>As of 1</w:t>
      </w:r>
      <w:r w:rsidRPr="0051357C">
        <w:rPr>
          <w:rFonts w:asciiTheme="majorHAnsi" w:eastAsia="SimHei" w:hAnsiTheme="majorHAnsi" w:cstheme="majorBidi"/>
          <w:sz w:val="22"/>
          <w:szCs w:val="22"/>
          <w:vertAlign w:val="superscript"/>
        </w:rPr>
        <w:t>st</w:t>
      </w:r>
      <w:r w:rsidRPr="3766A6B7">
        <w:rPr>
          <w:rFonts w:asciiTheme="majorHAnsi" w:eastAsia="SimHei" w:hAnsiTheme="majorHAnsi" w:cstheme="majorBidi"/>
          <w:sz w:val="22"/>
          <w:szCs w:val="22"/>
        </w:rPr>
        <w:t xml:space="preserve"> November 2024, Brink’s has two global preferred vendors – Robert Half and Adecco. </w:t>
      </w:r>
      <w:r w:rsidR="006C20FB" w:rsidRPr="3766A6B7">
        <w:rPr>
          <w:rFonts w:asciiTheme="majorHAnsi" w:eastAsia="SimHei" w:hAnsiTheme="majorHAnsi" w:cstheme="majorBidi"/>
          <w:sz w:val="22"/>
          <w:szCs w:val="22"/>
        </w:rPr>
        <w:t xml:space="preserve">These vendors are to be prioritized for all </w:t>
      </w:r>
      <w:r w:rsidR="007E7BBC">
        <w:rPr>
          <w:rFonts w:asciiTheme="majorHAnsi" w:eastAsia="SimHei" w:hAnsiTheme="majorHAnsi" w:cstheme="majorBidi"/>
          <w:sz w:val="22"/>
          <w:szCs w:val="22"/>
        </w:rPr>
        <w:t>C</w:t>
      </w:r>
      <w:r w:rsidR="00276EF9">
        <w:rPr>
          <w:rFonts w:asciiTheme="majorHAnsi" w:eastAsia="SimHei" w:hAnsiTheme="majorHAnsi" w:cstheme="majorBidi"/>
          <w:sz w:val="22"/>
          <w:szCs w:val="22"/>
        </w:rPr>
        <w:t>ontingent</w:t>
      </w:r>
      <w:r w:rsidR="006C20FB" w:rsidRPr="3766A6B7">
        <w:rPr>
          <w:rFonts w:asciiTheme="majorHAnsi" w:eastAsia="SimHei" w:hAnsiTheme="majorHAnsi" w:cstheme="majorBidi"/>
          <w:sz w:val="22"/>
          <w:szCs w:val="22"/>
        </w:rPr>
        <w:t xml:space="preserve"> </w:t>
      </w:r>
      <w:r w:rsidR="007E7BBC">
        <w:rPr>
          <w:rFonts w:asciiTheme="majorHAnsi" w:eastAsia="SimHei" w:hAnsiTheme="majorHAnsi" w:cstheme="majorBidi"/>
          <w:sz w:val="22"/>
          <w:szCs w:val="22"/>
        </w:rPr>
        <w:t>W</w:t>
      </w:r>
      <w:r w:rsidR="006C20FB" w:rsidRPr="3766A6B7">
        <w:rPr>
          <w:rFonts w:asciiTheme="majorHAnsi" w:eastAsia="SimHei" w:hAnsiTheme="majorHAnsi" w:cstheme="majorBidi"/>
          <w:sz w:val="22"/>
          <w:szCs w:val="22"/>
        </w:rPr>
        <w:t xml:space="preserve">orker requirements. </w:t>
      </w:r>
    </w:p>
    <w:p w14:paraId="05ED95F7" w14:textId="77777777" w:rsidR="002D03F2" w:rsidRPr="0074239A" w:rsidRDefault="002D03F2" w:rsidP="002D03F2">
      <w:pPr>
        <w:rPr>
          <w:rFonts w:asciiTheme="majorHAnsi" w:eastAsia="SimHei" w:hAnsiTheme="majorHAnsi" w:cstheme="majorBidi"/>
          <w:sz w:val="22"/>
          <w:szCs w:val="22"/>
        </w:rPr>
      </w:pPr>
    </w:p>
    <w:tbl>
      <w:tblPr>
        <w:tblW w:w="10142" w:type="dxa"/>
        <w:tblInd w:w="113" w:type="dxa"/>
        <w:tblLook w:val="04A0" w:firstRow="1" w:lastRow="0" w:firstColumn="1" w:lastColumn="0" w:noHBand="0" w:noVBand="1"/>
      </w:tblPr>
      <w:tblGrid>
        <w:gridCol w:w="400"/>
        <w:gridCol w:w="2925"/>
        <w:gridCol w:w="3397"/>
        <w:gridCol w:w="3420"/>
      </w:tblGrid>
      <w:tr w:rsidR="00D030C9" w:rsidRPr="0074239A" w14:paraId="22937E75" w14:textId="77777777" w:rsidTr="6B3824FD">
        <w:trPr>
          <w:trHeight w:val="310"/>
        </w:trPr>
        <w:tc>
          <w:tcPr>
            <w:tcW w:w="400" w:type="dxa"/>
            <w:tcBorders>
              <w:top w:val="single" w:sz="4" w:space="0" w:color="auto"/>
              <w:left w:val="single" w:sz="4" w:space="0" w:color="auto"/>
              <w:bottom w:val="single" w:sz="4" w:space="0" w:color="auto"/>
              <w:right w:val="single" w:sz="4" w:space="0" w:color="auto"/>
            </w:tcBorders>
            <w:shd w:val="clear" w:color="auto" w:fill="BCD3EE"/>
            <w:noWrap/>
            <w:vAlign w:val="bottom"/>
            <w:hideMark/>
          </w:tcPr>
          <w:p w14:paraId="069ED9EF" w14:textId="77777777" w:rsidR="002D03F2" w:rsidRPr="00D030C9" w:rsidRDefault="002D03F2" w:rsidP="00E74EF7">
            <w:pPr>
              <w:jc w:val="center"/>
              <w:rPr>
                <w:rFonts w:asciiTheme="majorHAnsi" w:hAnsiTheme="majorHAnsi" w:cstheme="majorBidi"/>
                <w:b/>
                <w:sz w:val="22"/>
                <w:szCs w:val="22"/>
              </w:rPr>
            </w:pPr>
            <w:r w:rsidRPr="00D030C9">
              <w:rPr>
                <w:rFonts w:asciiTheme="majorHAnsi" w:hAnsiTheme="majorHAnsi" w:cstheme="majorBidi"/>
                <w:b/>
                <w:sz w:val="22"/>
                <w:szCs w:val="22"/>
              </w:rPr>
              <w:t>#</w:t>
            </w:r>
          </w:p>
        </w:tc>
        <w:tc>
          <w:tcPr>
            <w:tcW w:w="2925" w:type="dxa"/>
            <w:tcBorders>
              <w:top w:val="single" w:sz="4" w:space="0" w:color="auto"/>
              <w:left w:val="nil"/>
              <w:bottom w:val="single" w:sz="4" w:space="0" w:color="auto"/>
              <w:right w:val="single" w:sz="4" w:space="0" w:color="auto"/>
            </w:tcBorders>
            <w:shd w:val="clear" w:color="auto" w:fill="BCD3EE"/>
            <w:noWrap/>
            <w:vAlign w:val="bottom"/>
            <w:hideMark/>
          </w:tcPr>
          <w:p w14:paraId="171B57F4" w14:textId="77777777" w:rsidR="002D03F2" w:rsidRPr="00D030C9" w:rsidRDefault="002D03F2" w:rsidP="00E74EF7">
            <w:pPr>
              <w:jc w:val="center"/>
              <w:rPr>
                <w:rFonts w:asciiTheme="majorHAnsi" w:hAnsiTheme="majorHAnsi" w:cstheme="majorBidi"/>
                <w:b/>
                <w:sz w:val="22"/>
                <w:szCs w:val="22"/>
              </w:rPr>
            </w:pPr>
            <w:r w:rsidRPr="00D030C9">
              <w:rPr>
                <w:rFonts w:asciiTheme="majorHAnsi" w:hAnsiTheme="majorHAnsi" w:cstheme="majorBidi"/>
                <w:b/>
                <w:sz w:val="22"/>
                <w:szCs w:val="22"/>
              </w:rPr>
              <w:t>Supplier Name</w:t>
            </w:r>
          </w:p>
        </w:tc>
        <w:tc>
          <w:tcPr>
            <w:tcW w:w="3397" w:type="dxa"/>
            <w:tcBorders>
              <w:top w:val="single" w:sz="4" w:space="0" w:color="auto"/>
              <w:left w:val="nil"/>
              <w:bottom w:val="single" w:sz="4" w:space="0" w:color="auto"/>
              <w:right w:val="single" w:sz="4" w:space="0" w:color="auto"/>
            </w:tcBorders>
            <w:shd w:val="clear" w:color="auto" w:fill="BCD3EE"/>
            <w:noWrap/>
            <w:vAlign w:val="bottom"/>
            <w:hideMark/>
          </w:tcPr>
          <w:p w14:paraId="0F09F2FA" w14:textId="77777777" w:rsidR="002D03F2" w:rsidRPr="00D030C9" w:rsidRDefault="002D03F2" w:rsidP="00E74EF7">
            <w:pPr>
              <w:jc w:val="center"/>
              <w:rPr>
                <w:rFonts w:asciiTheme="majorHAnsi" w:hAnsiTheme="majorHAnsi" w:cstheme="majorBidi"/>
                <w:b/>
                <w:sz w:val="22"/>
                <w:szCs w:val="22"/>
              </w:rPr>
            </w:pPr>
            <w:r w:rsidRPr="00D030C9">
              <w:rPr>
                <w:rFonts w:asciiTheme="majorHAnsi" w:hAnsiTheme="majorHAnsi" w:cstheme="majorBidi"/>
                <w:b/>
                <w:sz w:val="22"/>
                <w:szCs w:val="22"/>
              </w:rPr>
              <w:t>POC Name</w:t>
            </w:r>
          </w:p>
        </w:tc>
        <w:tc>
          <w:tcPr>
            <w:tcW w:w="3420" w:type="dxa"/>
            <w:tcBorders>
              <w:top w:val="single" w:sz="4" w:space="0" w:color="auto"/>
              <w:left w:val="nil"/>
              <w:bottom w:val="single" w:sz="4" w:space="0" w:color="auto"/>
              <w:right w:val="single" w:sz="4" w:space="0" w:color="auto"/>
            </w:tcBorders>
            <w:shd w:val="clear" w:color="auto" w:fill="BCD3EE"/>
            <w:noWrap/>
            <w:vAlign w:val="bottom"/>
            <w:hideMark/>
          </w:tcPr>
          <w:p w14:paraId="0BBB114D" w14:textId="77777777" w:rsidR="002D03F2" w:rsidRPr="00D030C9" w:rsidRDefault="002D03F2" w:rsidP="00E74EF7">
            <w:pPr>
              <w:jc w:val="center"/>
              <w:rPr>
                <w:rFonts w:asciiTheme="majorHAnsi" w:hAnsiTheme="majorHAnsi" w:cstheme="majorBidi"/>
                <w:b/>
                <w:sz w:val="22"/>
                <w:szCs w:val="22"/>
              </w:rPr>
            </w:pPr>
            <w:r w:rsidRPr="00D030C9">
              <w:rPr>
                <w:rFonts w:asciiTheme="majorHAnsi" w:hAnsiTheme="majorHAnsi" w:cstheme="majorBidi"/>
                <w:b/>
                <w:sz w:val="22"/>
                <w:szCs w:val="22"/>
              </w:rPr>
              <w:t>POC E-Mail</w:t>
            </w:r>
          </w:p>
        </w:tc>
      </w:tr>
      <w:tr w:rsidR="002D03F2" w:rsidRPr="0074239A" w14:paraId="31D69D5C" w14:textId="77777777" w:rsidTr="6B3824FD">
        <w:trPr>
          <w:trHeight w:val="3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F670CEC" w14:textId="77777777" w:rsidR="002D03F2" w:rsidRPr="0074239A" w:rsidRDefault="002D03F2" w:rsidP="00E74EF7">
            <w:pPr>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Pr>
              <w:t>1</w:t>
            </w:r>
          </w:p>
        </w:tc>
        <w:tc>
          <w:tcPr>
            <w:tcW w:w="2925" w:type="dxa"/>
            <w:tcBorders>
              <w:top w:val="nil"/>
              <w:left w:val="nil"/>
              <w:bottom w:val="single" w:sz="4" w:space="0" w:color="auto"/>
              <w:right w:val="single" w:sz="4" w:space="0" w:color="auto"/>
            </w:tcBorders>
            <w:shd w:val="clear" w:color="auto" w:fill="auto"/>
            <w:noWrap/>
            <w:vAlign w:val="bottom"/>
            <w:hideMark/>
          </w:tcPr>
          <w:p w14:paraId="7F6778F8" w14:textId="6EDF7CA3" w:rsidR="002D03F2" w:rsidRPr="0074239A" w:rsidRDefault="002D03F2" w:rsidP="00E74EF7">
            <w:pPr>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Pr>
              <w:t>Adecco</w:t>
            </w:r>
            <w:r w:rsidR="003A6BF9">
              <w:rPr>
                <w:rFonts w:asciiTheme="majorHAnsi" w:hAnsiTheme="majorHAnsi" w:cstheme="majorBidi"/>
                <w:color w:val="000000" w:themeColor="text1"/>
                <w:sz w:val="22"/>
                <w:szCs w:val="22"/>
              </w:rPr>
              <w:t xml:space="preserve"> Group</w:t>
            </w:r>
          </w:p>
        </w:tc>
        <w:tc>
          <w:tcPr>
            <w:tcW w:w="3397" w:type="dxa"/>
            <w:tcBorders>
              <w:top w:val="nil"/>
              <w:left w:val="nil"/>
              <w:bottom w:val="single" w:sz="4" w:space="0" w:color="auto"/>
              <w:right w:val="single" w:sz="4" w:space="0" w:color="auto"/>
            </w:tcBorders>
            <w:shd w:val="clear" w:color="auto" w:fill="auto"/>
            <w:noWrap/>
            <w:vAlign w:val="bottom"/>
            <w:hideMark/>
          </w:tcPr>
          <w:p w14:paraId="3F98CDFC" w14:textId="70240C46" w:rsidR="002D03F2" w:rsidRPr="0074239A" w:rsidRDefault="0028735B" w:rsidP="00E96AF9">
            <w:pPr>
              <w:jc w:val="center"/>
              <w:rPr>
                <w:rFonts w:asciiTheme="majorHAnsi" w:hAnsiTheme="majorHAnsi" w:cstheme="majorBidi"/>
                <w:color w:val="000000"/>
                <w:sz w:val="22"/>
                <w:szCs w:val="22"/>
              </w:rPr>
            </w:pPr>
            <w:r w:rsidRPr="0028735B">
              <w:rPr>
                <w:rFonts w:asciiTheme="majorHAnsi" w:hAnsiTheme="majorHAnsi" w:cstheme="majorBidi"/>
                <w:color w:val="000000"/>
                <w:sz w:val="22"/>
                <w:szCs w:val="22"/>
              </w:rPr>
              <w:t>Jeney James</w:t>
            </w:r>
          </w:p>
        </w:tc>
        <w:tc>
          <w:tcPr>
            <w:tcW w:w="3420" w:type="dxa"/>
            <w:tcBorders>
              <w:top w:val="nil"/>
              <w:left w:val="nil"/>
              <w:bottom w:val="single" w:sz="4" w:space="0" w:color="auto"/>
              <w:right w:val="single" w:sz="4" w:space="0" w:color="auto"/>
            </w:tcBorders>
            <w:shd w:val="clear" w:color="auto" w:fill="auto"/>
            <w:noWrap/>
            <w:vAlign w:val="bottom"/>
            <w:hideMark/>
          </w:tcPr>
          <w:p w14:paraId="64231B2E" w14:textId="08F9985B" w:rsidR="002D03F2" w:rsidRPr="0074239A" w:rsidRDefault="0028735B" w:rsidP="00E74EF7">
            <w:pPr>
              <w:rPr>
                <w:rFonts w:asciiTheme="majorHAnsi" w:hAnsiTheme="majorHAnsi" w:cstheme="majorBidi"/>
                <w:color w:val="000000"/>
                <w:sz w:val="22"/>
                <w:szCs w:val="22"/>
              </w:rPr>
            </w:pPr>
            <w:r w:rsidRPr="0028735B">
              <w:rPr>
                <w:rFonts w:asciiTheme="majorHAnsi" w:hAnsiTheme="majorHAnsi" w:cstheme="majorBidi"/>
                <w:color w:val="000000"/>
                <w:sz w:val="22"/>
                <w:szCs w:val="22"/>
              </w:rPr>
              <w:t>Jeney.James@</w:t>
            </w:r>
            <w:r>
              <w:rPr>
                <w:rFonts w:asciiTheme="majorHAnsi" w:hAnsiTheme="majorHAnsi" w:cstheme="majorBidi"/>
                <w:color w:val="000000"/>
                <w:sz w:val="22"/>
                <w:szCs w:val="22"/>
              </w:rPr>
              <w:t>a</w:t>
            </w:r>
            <w:r w:rsidRPr="0028735B">
              <w:rPr>
                <w:rFonts w:asciiTheme="majorHAnsi" w:hAnsiTheme="majorHAnsi" w:cstheme="majorBidi"/>
                <w:color w:val="000000"/>
                <w:sz w:val="22"/>
                <w:szCs w:val="22"/>
              </w:rPr>
              <w:t>deccona.com</w:t>
            </w:r>
          </w:p>
        </w:tc>
      </w:tr>
      <w:tr w:rsidR="002D03F2" w:rsidRPr="0074239A" w14:paraId="400FB1F3" w14:textId="77777777" w:rsidTr="6B3824FD">
        <w:trPr>
          <w:trHeight w:val="3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15FB09C" w14:textId="77777777" w:rsidR="002D03F2" w:rsidRPr="0074239A" w:rsidRDefault="002D03F2" w:rsidP="00E74EF7">
            <w:pPr>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Pr>
              <w:t>2</w:t>
            </w:r>
          </w:p>
        </w:tc>
        <w:tc>
          <w:tcPr>
            <w:tcW w:w="2925" w:type="dxa"/>
            <w:tcBorders>
              <w:top w:val="nil"/>
              <w:left w:val="nil"/>
              <w:bottom w:val="single" w:sz="4" w:space="0" w:color="auto"/>
              <w:right w:val="single" w:sz="4" w:space="0" w:color="auto"/>
            </w:tcBorders>
            <w:shd w:val="clear" w:color="auto" w:fill="auto"/>
            <w:noWrap/>
            <w:vAlign w:val="bottom"/>
            <w:hideMark/>
          </w:tcPr>
          <w:p w14:paraId="1F071083" w14:textId="77777777" w:rsidR="002D03F2" w:rsidRPr="0074239A" w:rsidRDefault="6B3824FD" w:rsidP="6B3824FD">
            <w:pPr>
              <w:jc w:val="center"/>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Pr>
              <w:t>Robert Half</w:t>
            </w:r>
          </w:p>
        </w:tc>
        <w:tc>
          <w:tcPr>
            <w:tcW w:w="3397" w:type="dxa"/>
            <w:tcBorders>
              <w:top w:val="nil"/>
              <w:left w:val="nil"/>
              <w:bottom w:val="single" w:sz="4" w:space="0" w:color="auto"/>
              <w:right w:val="single" w:sz="4" w:space="0" w:color="auto"/>
            </w:tcBorders>
            <w:shd w:val="clear" w:color="auto" w:fill="auto"/>
            <w:noWrap/>
            <w:vAlign w:val="bottom"/>
            <w:hideMark/>
          </w:tcPr>
          <w:p w14:paraId="6D114223" w14:textId="58728861" w:rsidR="002D03F2" w:rsidRPr="0074239A" w:rsidRDefault="00E96AF9" w:rsidP="0051357C">
            <w:pPr>
              <w:jc w:val="center"/>
              <w:rPr>
                <w:rFonts w:asciiTheme="majorHAnsi" w:hAnsiTheme="majorHAnsi" w:cstheme="majorBidi"/>
                <w:color w:val="000000"/>
                <w:sz w:val="22"/>
                <w:szCs w:val="22"/>
              </w:rPr>
            </w:pPr>
            <w:r>
              <w:rPr>
                <w:rFonts w:asciiTheme="majorHAnsi" w:hAnsiTheme="majorHAnsi" w:cstheme="majorBidi"/>
                <w:color w:val="000000"/>
                <w:sz w:val="22"/>
                <w:szCs w:val="22"/>
              </w:rPr>
              <w:t>Jenifer Mauney</w:t>
            </w:r>
          </w:p>
        </w:tc>
        <w:tc>
          <w:tcPr>
            <w:tcW w:w="3420" w:type="dxa"/>
            <w:tcBorders>
              <w:top w:val="nil"/>
              <w:left w:val="nil"/>
              <w:bottom w:val="single" w:sz="4" w:space="0" w:color="auto"/>
              <w:right w:val="single" w:sz="4" w:space="0" w:color="auto"/>
            </w:tcBorders>
            <w:shd w:val="clear" w:color="auto" w:fill="auto"/>
            <w:noWrap/>
            <w:vAlign w:val="bottom"/>
            <w:hideMark/>
          </w:tcPr>
          <w:p w14:paraId="4A231CAB" w14:textId="6F529129" w:rsidR="002D03F2" w:rsidRPr="0074239A" w:rsidRDefault="6B3824FD" w:rsidP="6B3824FD">
            <w:pPr>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Pr>
              <w:t>jenifer.mauney@roberthalf.com</w:t>
            </w:r>
          </w:p>
        </w:tc>
      </w:tr>
    </w:tbl>
    <w:p w14:paraId="0D60E802" w14:textId="77777777" w:rsidR="004A4C3B" w:rsidRDefault="004A4C3B" w:rsidP="004A4C3B"/>
    <w:p w14:paraId="7B687A39" w14:textId="5BB2D3F3" w:rsidR="003A1B39" w:rsidRDefault="003A1B39" w:rsidP="0051357C">
      <w:pPr>
        <w:ind w:left="360"/>
        <w:rPr>
          <w:rFonts w:asciiTheme="majorHAnsi" w:eastAsia="SimHei" w:hAnsiTheme="majorHAnsi" w:cstheme="majorBidi"/>
          <w:sz w:val="22"/>
          <w:szCs w:val="22"/>
        </w:rPr>
      </w:pPr>
      <w:r w:rsidRPr="3766A6B7">
        <w:rPr>
          <w:rFonts w:asciiTheme="majorHAnsi" w:eastAsia="SimHei" w:hAnsiTheme="majorHAnsi" w:cstheme="majorBidi"/>
          <w:sz w:val="22"/>
          <w:szCs w:val="22"/>
        </w:rPr>
        <w:t>If none of the vendors listed above can meet a specific requirement, Strategic Sourcing must be consulted to explore alternative options.</w:t>
      </w:r>
    </w:p>
    <w:p w14:paraId="6B94AC95" w14:textId="77777777" w:rsidR="00AB0BFF" w:rsidRDefault="00AB0BFF" w:rsidP="0051357C">
      <w:pPr>
        <w:ind w:left="360"/>
        <w:rPr>
          <w:rFonts w:asciiTheme="majorHAnsi" w:eastAsia="SimHei" w:hAnsiTheme="majorHAnsi" w:cstheme="majorBidi"/>
          <w:sz w:val="22"/>
          <w:szCs w:val="22"/>
        </w:rPr>
      </w:pPr>
    </w:p>
    <w:p w14:paraId="3C280C95" w14:textId="79C35168" w:rsidR="008E0A00" w:rsidRPr="00A535B7" w:rsidRDefault="004E717E" w:rsidP="004E717E">
      <w:pPr>
        <w:ind w:left="360"/>
        <w:jc w:val="both"/>
        <w:rPr>
          <w:rFonts w:eastAsia="SimHei"/>
          <w:b/>
          <w:bCs/>
          <w:sz w:val="22"/>
          <w:szCs w:val="22"/>
        </w:rPr>
      </w:pPr>
      <w:r w:rsidRPr="004E717E">
        <w:rPr>
          <w:rFonts w:asciiTheme="majorHAnsi" w:eastAsia="SimHei" w:hAnsiTheme="majorHAnsi" w:cstheme="majorBidi"/>
          <w:sz w:val="22"/>
          <w:szCs w:val="22"/>
        </w:rPr>
        <w:t xml:space="preserve">Local contracts and rate cards have been negotiated for the US, France, and the Netherlands. For other countries, please contact your local Strategic Sourcing team to assist with implementing these vendors as soon as a need for a </w:t>
      </w:r>
      <w:r w:rsidR="0095650D">
        <w:rPr>
          <w:rFonts w:asciiTheme="majorHAnsi" w:eastAsia="SimHei" w:hAnsiTheme="majorHAnsi" w:cstheme="majorBidi"/>
          <w:sz w:val="22"/>
          <w:szCs w:val="22"/>
        </w:rPr>
        <w:t>C</w:t>
      </w:r>
      <w:r w:rsidRPr="004E717E">
        <w:rPr>
          <w:rFonts w:asciiTheme="majorHAnsi" w:eastAsia="SimHei" w:hAnsiTheme="majorHAnsi" w:cstheme="majorBidi"/>
          <w:sz w:val="22"/>
          <w:szCs w:val="22"/>
        </w:rPr>
        <w:t xml:space="preserve">ontingent </w:t>
      </w:r>
      <w:r w:rsidR="0095650D">
        <w:rPr>
          <w:rFonts w:asciiTheme="majorHAnsi" w:eastAsia="SimHei" w:hAnsiTheme="majorHAnsi" w:cstheme="majorBidi"/>
          <w:sz w:val="22"/>
          <w:szCs w:val="22"/>
        </w:rPr>
        <w:t>W</w:t>
      </w:r>
      <w:r w:rsidRPr="004E717E">
        <w:rPr>
          <w:rFonts w:asciiTheme="majorHAnsi" w:eastAsia="SimHei" w:hAnsiTheme="majorHAnsi" w:cstheme="majorBidi"/>
          <w:sz w:val="22"/>
          <w:szCs w:val="22"/>
        </w:rPr>
        <w:t>orker arises</w:t>
      </w:r>
      <w:r w:rsidRPr="00A535B7">
        <w:rPr>
          <w:rFonts w:asciiTheme="majorHAnsi" w:eastAsia="SimHei" w:hAnsiTheme="majorHAnsi" w:cstheme="majorBidi"/>
          <w:b/>
          <w:bCs/>
          <w:sz w:val="22"/>
          <w:szCs w:val="22"/>
        </w:rPr>
        <w:t xml:space="preserve">. Since </w:t>
      </w:r>
      <w:r w:rsidR="0095650D">
        <w:rPr>
          <w:rFonts w:asciiTheme="majorHAnsi" w:eastAsia="SimHei" w:hAnsiTheme="majorHAnsi" w:cstheme="majorBidi"/>
          <w:b/>
          <w:bCs/>
          <w:sz w:val="22"/>
          <w:szCs w:val="22"/>
        </w:rPr>
        <w:t>Brink’s is</w:t>
      </w:r>
      <w:r w:rsidRPr="00A535B7">
        <w:rPr>
          <w:rFonts w:asciiTheme="majorHAnsi" w:eastAsia="SimHei" w:hAnsiTheme="majorHAnsi" w:cstheme="majorBidi"/>
          <w:b/>
          <w:bCs/>
          <w:sz w:val="22"/>
          <w:szCs w:val="22"/>
        </w:rPr>
        <w:t xml:space="preserve"> partnering with these vendors as part of a global program to secure preferential pricing, it is essential that they are not engaged on an ad-hoc basis locally.</w:t>
      </w:r>
    </w:p>
    <w:p w14:paraId="313A86F0" w14:textId="0478D16B" w:rsidR="003A1B39" w:rsidRPr="008E0A00" w:rsidRDefault="74515DB9" w:rsidP="003A1B39">
      <w:pPr>
        <w:pStyle w:val="Heading2"/>
        <w:ind w:left="360"/>
        <w:rPr>
          <w:color w:val="auto"/>
          <w:sz w:val="22"/>
          <w:szCs w:val="22"/>
        </w:rPr>
      </w:pPr>
      <w:bookmarkStart w:id="29" w:name="_Toc186790734"/>
      <w:r w:rsidRPr="74515DB9">
        <w:rPr>
          <w:color w:val="auto"/>
          <w:sz w:val="22"/>
          <w:szCs w:val="22"/>
        </w:rPr>
        <w:t>Engaging Strategic Sourcing</w:t>
      </w:r>
      <w:bookmarkEnd w:id="29"/>
    </w:p>
    <w:p w14:paraId="5031B698" w14:textId="2C775788" w:rsidR="4E9968A4" w:rsidRDefault="4E9968A4" w:rsidP="4E9968A4">
      <w:pPr>
        <w:spacing w:before="120" w:after="120"/>
        <w:jc w:val="both"/>
        <w:rPr>
          <w:rFonts w:asciiTheme="majorHAnsi" w:hAnsiTheme="majorHAnsi" w:cstheme="majorBidi"/>
          <w:sz w:val="22"/>
          <w:szCs w:val="22"/>
        </w:rPr>
      </w:pPr>
      <w:r w:rsidRPr="4E9968A4">
        <w:rPr>
          <w:rFonts w:asciiTheme="majorHAnsi" w:hAnsiTheme="majorHAnsi" w:cstheme="majorBidi"/>
          <w:sz w:val="22"/>
          <w:szCs w:val="22"/>
        </w:rPr>
        <w:t>When a preferred supplier is not able to meet the requirements of the Business Stakeholder/HR Partner, Strategic Sourcing will engage to select an alternative vendor. Strategic Sourcing will follow the below steps:</w:t>
      </w:r>
    </w:p>
    <w:p w14:paraId="49B073DD" w14:textId="6FE2C365" w:rsidR="004A4C3B" w:rsidRPr="00B76DE1" w:rsidRDefault="00593902" w:rsidP="00FA438B">
      <w:pPr>
        <w:pStyle w:val="Heading3"/>
        <w:numPr>
          <w:ilvl w:val="0"/>
          <w:numId w:val="0"/>
        </w:numPr>
      </w:pPr>
      <w:bookmarkStart w:id="30" w:name="_Toc186790735"/>
      <w:r w:rsidRPr="00FA438B">
        <w:rPr>
          <w:noProof/>
          <w:color w:val="auto"/>
        </w:rPr>
        <w:drawing>
          <wp:anchor distT="0" distB="0" distL="114300" distR="114300" simplePos="0" relativeHeight="251659264" behindDoc="0" locked="0" layoutInCell="1" allowOverlap="1" wp14:anchorId="54A9E412" wp14:editId="6A8DC60C">
            <wp:simplePos x="0" y="0"/>
            <wp:positionH relativeFrom="column">
              <wp:posOffset>-60877</wp:posOffset>
            </wp:positionH>
            <wp:positionV relativeFrom="paragraph">
              <wp:posOffset>719317</wp:posOffset>
            </wp:positionV>
            <wp:extent cx="6583680" cy="2891790"/>
            <wp:effectExtent l="0" t="0" r="7620" b="3810"/>
            <wp:wrapTopAndBottom/>
            <wp:docPr id="162528377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83779" name="Picture 1" descr="A screenshot of a computer screen&#10;&#10;Description automatically generated"/>
                    <pic:cNvPicPr/>
                  </pic:nvPicPr>
                  <pic:blipFill>
                    <a:blip r:embed="rId12"/>
                    <a:stretch>
                      <a:fillRect/>
                    </a:stretch>
                  </pic:blipFill>
                  <pic:spPr>
                    <a:xfrm>
                      <a:off x="0" y="0"/>
                      <a:ext cx="6583680" cy="2891790"/>
                    </a:xfrm>
                    <a:prstGeom prst="rect">
                      <a:avLst/>
                    </a:prstGeom>
                  </pic:spPr>
                </pic:pic>
              </a:graphicData>
            </a:graphic>
            <wp14:sizeRelH relativeFrom="margin">
              <wp14:pctWidth>0</wp14:pctWidth>
            </wp14:sizeRelH>
            <wp14:sizeRelV relativeFrom="margin">
              <wp14:pctHeight>0</wp14:pctHeight>
            </wp14:sizeRelV>
          </wp:anchor>
        </w:drawing>
      </w:r>
      <w:bookmarkStart w:id="31" w:name="_Toc179490789"/>
      <w:bookmarkStart w:id="32" w:name="_Toc179490895"/>
      <w:bookmarkStart w:id="33" w:name="_Toc179490967"/>
      <w:bookmarkStart w:id="34" w:name="_Toc179491282"/>
      <w:bookmarkStart w:id="35" w:name="_Toc179491323"/>
      <w:bookmarkStart w:id="36" w:name="_Toc179492949"/>
      <w:bookmarkStart w:id="37" w:name="_Toc179490790"/>
      <w:bookmarkStart w:id="38" w:name="_Toc179490896"/>
      <w:bookmarkStart w:id="39" w:name="_Toc179490968"/>
      <w:bookmarkStart w:id="40" w:name="_Toc179491283"/>
      <w:bookmarkStart w:id="41" w:name="_Toc179491324"/>
      <w:bookmarkStart w:id="42" w:name="_Toc179492950"/>
      <w:bookmarkStart w:id="43" w:name="_Toc179490791"/>
      <w:bookmarkStart w:id="44" w:name="_Toc179490897"/>
      <w:bookmarkStart w:id="45" w:name="_Toc179490969"/>
      <w:bookmarkStart w:id="46" w:name="_Toc179491284"/>
      <w:bookmarkStart w:id="47" w:name="_Toc179491325"/>
      <w:bookmarkStart w:id="48" w:name="_Toc179492951"/>
      <w:bookmarkStart w:id="49" w:name="_Toc179490792"/>
      <w:bookmarkStart w:id="50" w:name="_Toc179490898"/>
      <w:bookmarkStart w:id="51" w:name="_Toc179490970"/>
      <w:bookmarkStart w:id="52" w:name="_Toc179491285"/>
      <w:bookmarkStart w:id="53" w:name="_Toc179491326"/>
      <w:bookmarkStart w:id="54" w:name="_Toc179492952"/>
      <w:bookmarkStart w:id="55" w:name="_Toc179490793"/>
      <w:bookmarkStart w:id="56" w:name="_Toc179490899"/>
      <w:bookmarkStart w:id="57" w:name="_Toc179490971"/>
      <w:bookmarkStart w:id="58" w:name="_Toc179491286"/>
      <w:bookmarkStart w:id="59" w:name="_Toc179491327"/>
      <w:bookmarkStart w:id="60" w:name="_Toc179492953"/>
      <w:bookmarkStart w:id="61" w:name="_Toc179490794"/>
      <w:bookmarkStart w:id="62" w:name="_Toc179490900"/>
      <w:bookmarkStart w:id="63" w:name="_Toc179490972"/>
      <w:bookmarkStart w:id="64" w:name="_Toc179491287"/>
      <w:bookmarkStart w:id="65" w:name="_Toc179491328"/>
      <w:bookmarkStart w:id="66" w:name="_Toc179492954"/>
      <w:bookmarkStart w:id="67" w:name="_Toc179490795"/>
      <w:bookmarkStart w:id="68" w:name="_Toc179490901"/>
      <w:bookmarkStart w:id="69" w:name="_Toc179490973"/>
      <w:bookmarkStart w:id="70" w:name="_Toc179491288"/>
      <w:bookmarkStart w:id="71" w:name="_Toc179491329"/>
      <w:bookmarkStart w:id="72" w:name="_Toc179492955"/>
      <w:bookmarkStart w:id="73" w:name="_Toc179490796"/>
      <w:bookmarkStart w:id="74" w:name="_Toc179490902"/>
      <w:bookmarkStart w:id="75" w:name="_Toc179490974"/>
      <w:bookmarkStart w:id="76" w:name="_Toc179491289"/>
      <w:bookmarkStart w:id="77" w:name="_Toc179491330"/>
      <w:bookmarkStart w:id="78" w:name="_Toc179492956"/>
      <w:bookmarkStart w:id="79" w:name="_Toc179490797"/>
      <w:bookmarkStart w:id="80" w:name="_Toc179490903"/>
      <w:bookmarkStart w:id="81" w:name="_Toc179490975"/>
      <w:bookmarkStart w:id="82" w:name="_Toc179491290"/>
      <w:bookmarkStart w:id="83" w:name="_Toc179491331"/>
      <w:bookmarkStart w:id="84" w:name="_Toc17949295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141344" w:rsidRPr="00FA438B">
        <w:rPr>
          <w:color w:val="auto"/>
        </w:rPr>
        <w:t>Engaging</w:t>
      </w:r>
      <w:r w:rsidR="003A1B39" w:rsidRPr="00FA438B">
        <w:rPr>
          <w:color w:val="auto"/>
        </w:rPr>
        <w:t xml:space="preserve"> </w:t>
      </w:r>
      <w:r w:rsidR="00276EF9" w:rsidRPr="00FA438B">
        <w:rPr>
          <w:color w:val="auto"/>
        </w:rPr>
        <w:t>Contingent Workers</w:t>
      </w:r>
      <w:bookmarkEnd w:id="30"/>
    </w:p>
    <w:p w14:paraId="2231FAC3" w14:textId="77777777" w:rsidR="003464B7" w:rsidRPr="0051357C" w:rsidRDefault="003464B7" w:rsidP="0051357C">
      <w:pPr>
        <w:rPr>
          <w:rFonts w:eastAsiaTheme="majorEastAsia"/>
        </w:rPr>
      </w:pPr>
    </w:p>
    <w:p w14:paraId="1CFFF01C" w14:textId="06E30D0C" w:rsidR="00851A67" w:rsidRPr="006E53F7" w:rsidRDefault="00851A67" w:rsidP="00851A67">
      <w:pPr>
        <w:jc w:val="both"/>
        <w:rPr>
          <w:rFonts w:asciiTheme="majorHAnsi" w:hAnsiTheme="majorHAnsi" w:cstheme="majorBidi"/>
          <w:sz w:val="22"/>
          <w:szCs w:val="22"/>
        </w:rPr>
      </w:pPr>
      <w:r w:rsidRPr="0051357C">
        <w:rPr>
          <w:rFonts w:asciiTheme="majorHAnsi" w:hAnsiTheme="majorHAnsi" w:cstheme="majorBidi"/>
          <w:sz w:val="22"/>
          <w:szCs w:val="22"/>
        </w:rPr>
        <w:t xml:space="preserve">The following rules and set of instructions are applicable where hiring </w:t>
      </w:r>
      <w:r w:rsidR="005454F8" w:rsidRPr="0051357C">
        <w:rPr>
          <w:rFonts w:asciiTheme="majorHAnsi" w:hAnsiTheme="majorHAnsi" w:cstheme="majorBidi"/>
          <w:sz w:val="22"/>
          <w:szCs w:val="22"/>
        </w:rPr>
        <w:t>managers</w:t>
      </w:r>
      <w:r w:rsidRPr="0051357C">
        <w:rPr>
          <w:rFonts w:asciiTheme="majorHAnsi" w:hAnsiTheme="majorHAnsi" w:cstheme="majorBidi"/>
          <w:sz w:val="22"/>
          <w:szCs w:val="22"/>
        </w:rPr>
        <w:t xml:space="preserve"> wish to </w:t>
      </w:r>
      <w:r w:rsidR="007250A0">
        <w:rPr>
          <w:rFonts w:asciiTheme="majorHAnsi" w:hAnsiTheme="majorHAnsi" w:cstheme="majorBidi"/>
          <w:sz w:val="22"/>
          <w:szCs w:val="22"/>
        </w:rPr>
        <w:t>engage</w:t>
      </w:r>
      <w:r w:rsidR="007250A0" w:rsidRPr="0051357C">
        <w:rPr>
          <w:rFonts w:asciiTheme="majorHAnsi" w:hAnsiTheme="majorHAnsi" w:cstheme="majorBidi"/>
          <w:sz w:val="22"/>
          <w:szCs w:val="22"/>
        </w:rPr>
        <w:t xml:space="preserve"> </w:t>
      </w:r>
      <w:r w:rsidR="00C20CDD">
        <w:rPr>
          <w:rFonts w:asciiTheme="majorHAnsi" w:hAnsiTheme="majorHAnsi" w:cstheme="majorBidi"/>
          <w:i/>
          <w:sz w:val="22"/>
          <w:szCs w:val="22"/>
        </w:rPr>
        <w:t>contingent</w:t>
      </w:r>
      <w:r w:rsidR="00C20CDD" w:rsidRPr="0051357C">
        <w:rPr>
          <w:rFonts w:asciiTheme="majorHAnsi" w:hAnsiTheme="majorHAnsi" w:cstheme="majorBidi"/>
          <w:i/>
          <w:sz w:val="22"/>
          <w:szCs w:val="22"/>
        </w:rPr>
        <w:t xml:space="preserve"> </w:t>
      </w:r>
      <w:r w:rsidR="005804F5" w:rsidRPr="0051357C">
        <w:rPr>
          <w:rFonts w:asciiTheme="majorHAnsi" w:hAnsiTheme="majorHAnsi" w:cstheme="majorBidi"/>
          <w:i/>
          <w:sz w:val="22"/>
          <w:szCs w:val="22"/>
        </w:rPr>
        <w:t>work</w:t>
      </w:r>
      <w:r w:rsidR="005804F5">
        <w:rPr>
          <w:rFonts w:asciiTheme="majorHAnsi" w:hAnsiTheme="majorHAnsi" w:cstheme="majorBidi"/>
          <w:i/>
          <w:sz w:val="22"/>
          <w:szCs w:val="22"/>
        </w:rPr>
        <w:t>ers.</w:t>
      </w:r>
      <w:r w:rsidRPr="0051357C">
        <w:rPr>
          <w:rFonts w:asciiTheme="majorHAnsi" w:hAnsiTheme="majorHAnsi" w:cstheme="majorBidi"/>
          <w:sz w:val="22"/>
          <w:szCs w:val="22"/>
        </w:rPr>
        <w:t xml:space="preserve"> For example, </w:t>
      </w:r>
      <w:r w:rsidR="00585E9F">
        <w:rPr>
          <w:rFonts w:asciiTheme="majorHAnsi" w:hAnsiTheme="majorHAnsi" w:cstheme="majorBidi"/>
          <w:sz w:val="22"/>
          <w:szCs w:val="22"/>
        </w:rPr>
        <w:t>engaging</w:t>
      </w:r>
      <w:r w:rsidR="00585E9F" w:rsidRPr="0051357C">
        <w:rPr>
          <w:rFonts w:asciiTheme="majorHAnsi" w:hAnsiTheme="majorHAnsi" w:cstheme="majorBidi"/>
          <w:sz w:val="22"/>
          <w:szCs w:val="22"/>
        </w:rPr>
        <w:t xml:space="preserve"> </w:t>
      </w:r>
      <w:r w:rsidRPr="0051357C">
        <w:rPr>
          <w:rFonts w:asciiTheme="majorHAnsi" w:hAnsiTheme="majorHAnsi" w:cstheme="majorBidi"/>
          <w:sz w:val="22"/>
          <w:szCs w:val="22"/>
        </w:rPr>
        <w:t>a</w:t>
      </w:r>
      <w:r w:rsidR="00276EF9">
        <w:rPr>
          <w:rFonts w:asciiTheme="majorHAnsi" w:hAnsiTheme="majorHAnsi" w:cstheme="majorBidi"/>
          <w:sz w:val="22"/>
          <w:szCs w:val="22"/>
        </w:rPr>
        <w:t xml:space="preserve"> </w:t>
      </w:r>
      <w:r w:rsidR="00D11B0B">
        <w:rPr>
          <w:rFonts w:asciiTheme="majorHAnsi" w:hAnsiTheme="majorHAnsi" w:cstheme="majorBidi"/>
          <w:sz w:val="22"/>
          <w:szCs w:val="22"/>
        </w:rPr>
        <w:t>Temporary</w:t>
      </w:r>
      <w:r w:rsidR="00F7542D" w:rsidRPr="3766A6B7">
        <w:rPr>
          <w:rFonts w:asciiTheme="majorHAnsi" w:hAnsiTheme="majorHAnsi" w:cstheme="majorBidi"/>
          <w:sz w:val="22"/>
          <w:szCs w:val="22"/>
        </w:rPr>
        <w:t xml:space="preserve"> </w:t>
      </w:r>
      <w:r w:rsidR="00C60712">
        <w:rPr>
          <w:rFonts w:asciiTheme="majorHAnsi" w:hAnsiTheme="majorHAnsi" w:cstheme="majorBidi"/>
          <w:sz w:val="22"/>
          <w:szCs w:val="22"/>
        </w:rPr>
        <w:t>W</w:t>
      </w:r>
      <w:r w:rsidR="00F7542D" w:rsidRPr="3766A6B7">
        <w:rPr>
          <w:rFonts w:asciiTheme="majorHAnsi" w:hAnsiTheme="majorHAnsi" w:cstheme="majorBidi"/>
          <w:sz w:val="22"/>
          <w:szCs w:val="22"/>
        </w:rPr>
        <w:t>orker</w:t>
      </w:r>
      <w:r w:rsidRPr="0051357C">
        <w:rPr>
          <w:rFonts w:asciiTheme="majorHAnsi" w:hAnsiTheme="majorHAnsi" w:cstheme="majorBidi"/>
          <w:sz w:val="22"/>
          <w:szCs w:val="22"/>
        </w:rPr>
        <w:t xml:space="preserve"> for 6 months while a permanent employee is on extended leave. </w:t>
      </w:r>
    </w:p>
    <w:p w14:paraId="4D5A0B17" w14:textId="77777777" w:rsidR="006E53F7" w:rsidRPr="0051357C" w:rsidRDefault="6B3824FD" w:rsidP="6B3824FD">
      <w:pPr>
        <w:pStyle w:val="Heading3"/>
        <w:numPr>
          <w:ilvl w:val="0"/>
          <w:numId w:val="0"/>
        </w:numPr>
        <w:jc w:val="both"/>
        <w:rPr>
          <w:i/>
          <w:iCs/>
          <w:color w:val="auto"/>
          <w:sz w:val="22"/>
          <w:szCs w:val="22"/>
        </w:rPr>
      </w:pPr>
      <w:bookmarkStart w:id="85" w:name="_Toc64992975"/>
      <w:bookmarkStart w:id="86" w:name="_Toc186790736"/>
      <w:r w:rsidRPr="6B3824FD">
        <w:rPr>
          <w:i/>
          <w:iCs/>
          <w:color w:val="auto"/>
          <w:sz w:val="22"/>
          <w:szCs w:val="22"/>
        </w:rPr>
        <w:t>Approval to Recruit</w:t>
      </w:r>
      <w:bookmarkEnd w:id="85"/>
      <w:bookmarkEnd w:id="86"/>
    </w:p>
    <w:p w14:paraId="410F6F59" w14:textId="54F7DB15" w:rsidR="006E53F7" w:rsidRPr="006E53F7" w:rsidRDefault="6B3824FD" w:rsidP="6B3824FD">
      <w:pPr>
        <w:rPr>
          <w:b/>
          <w:bCs/>
        </w:rPr>
      </w:pPr>
      <w:r w:rsidRPr="6B3824FD">
        <w:rPr>
          <w:rFonts w:asciiTheme="majorHAnsi" w:hAnsiTheme="majorHAnsi" w:cstheme="majorBidi"/>
          <w:sz w:val="22"/>
          <w:szCs w:val="22"/>
        </w:rPr>
        <w:t xml:space="preserve">All new </w:t>
      </w:r>
      <w:r w:rsidR="000F7F75">
        <w:rPr>
          <w:rFonts w:asciiTheme="majorHAnsi" w:hAnsiTheme="majorHAnsi" w:cstheme="majorBidi"/>
          <w:sz w:val="22"/>
          <w:szCs w:val="22"/>
        </w:rPr>
        <w:t xml:space="preserve">Contingent Worker </w:t>
      </w:r>
      <w:r w:rsidR="00D2214C">
        <w:rPr>
          <w:rFonts w:asciiTheme="majorHAnsi" w:hAnsiTheme="majorHAnsi" w:cstheme="majorBidi"/>
          <w:sz w:val="22"/>
          <w:szCs w:val="22"/>
        </w:rPr>
        <w:t>requests</w:t>
      </w:r>
      <w:r w:rsidR="00D2214C" w:rsidRPr="6B3824FD">
        <w:rPr>
          <w:rFonts w:asciiTheme="majorHAnsi" w:hAnsiTheme="majorHAnsi" w:cstheme="majorBidi"/>
          <w:sz w:val="22"/>
          <w:szCs w:val="22"/>
        </w:rPr>
        <w:t xml:space="preserve"> </w:t>
      </w:r>
      <w:r w:rsidRPr="6B3824FD">
        <w:rPr>
          <w:rFonts w:asciiTheme="majorHAnsi" w:hAnsiTheme="majorHAnsi" w:cstheme="majorBidi"/>
          <w:sz w:val="22"/>
          <w:szCs w:val="22"/>
        </w:rPr>
        <w:t xml:space="preserve">require the approval of the HR Business Partner. It is the responsibility of the HR Business Partner to ensure all new </w:t>
      </w:r>
      <w:r w:rsidR="000F7F75">
        <w:rPr>
          <w:rFonts w:asciiTheme="majorHAnsi" w:hAnsiTheme="majorHAnsi" w:cstheme="majorBidi"/>
          <w:sz w:val="22"/>
          <w:szCs w:val="22"/>
        </w:rPr>
        <w:t>engagements</w:t>
      </w:r>
      <w:r w:rsidR="000F7F75" w:rsidRPr="6B3824FD">
        <w:rPr>
          <w:rFonts w:asciiTheme="majorHAnsi" w:hAnsiTheme="majorHAnsi" w:cstheme="majorBidi"/>
          <w:sz w:val="22"/>
          <w:szCs w:val="22"/>
        </w:rPr>
        <w:t xml:space="preserve"> </w:t>
      </w:r>
      <w:r w:rsidRPr="6B3824FD">
        <w:rPr>
          <w:rFonts w:asciiTheme="majorHAnsi" w:hAnsiTheme="majorHAnsi" w:cstheme="majorBidi"/>
          <w:sz w:val="22"/>
          <w:szCs w:val="22"/>
        </w:rPr>
        <w:t xml:space="preserve">comply with this policy and to </w:t>
      </w:r>
      <w:r w:rsidR="000F7F75">
        <w:rPr>
          <w:rFonts w:asciiTheme="majorHAnsi" w:hAnsiTheme="majorHAnsi" w:cstheme="majorBidi"/>
          <w:sz w:val="22"/>
          <w:szCs w:val="22"/>
        </w:rPr>
        <w:t>work with</w:t>
      </w:r>
      <w:r w:rsidR="000F7F75" w:rsidRPr="6B3824FD">
        <w:rPr>
          <w:rFonts w:asciiTheme="majorHAnsi" w:hAnsiTheme="majorHAnsi" w:cstheme="majorBidi"/>
          <w:sz w:val="22"/>
          <w:szCs w:val="22"/>
        </w:rPr>
        <w:t xml:space="preserve"> </w:t>
      </w:r>
      <w:r w:rsidRPr="6B3824FD">
        <w:rPr>
          <w:rFonts w:asciiTheme="majorHAnsi" w:hAnsiTheme="majorHAnsi" w:cstheme="majorBidi"/>
          <w:sz w:val="22"/>
          <w:szCs w:val="22"/>
        </w:rPr>
        <w:t xml:space="preserve">Strategic Sourcing if needed. </w:t>
      </w:r>
    </w:p>
    <w:p w14:paraId="21AB2922" w14:textId="77777777" w:rsidR="00851A67" w:rsidRPr="0051357C" w:rsidRDefault="6B3824FD" w:rsidP="6B3824FD">
      <w:pPr>
        <w:pStyle w:val="Heading3"/>
        <w:numPr>
          <w:ilvl w:val="0"/>
          <w:numId w:val="0"/>
        </w:numPr>
        <w:jc w:val="both"/>
        <w:rPr>
          <w:rFonts w:eastAsia="Calibri"/>
          <w:i/>
          <w:iCs/>
          <w:color w:val="auto"/>
          <w:sz w:val="22"/>
          <w:szCs w:val="22"/>
          <w:lang w:eastAsia="nl-NL" w:bidi="nl-NL"/>
        </w:rPr>
      </w:pPr>
      <w:bookmarkStart w:id="87" w:name="_Toc64992960"/>
      <w:bookmarkStart w:id="88" w:name="_Toc186790737"/>
      <w:r w:rsidRPr="6B3824FD">
        <w:rPr>
          <w:rFonts w:eastAsia="Calibri"/>
          <w:i/>
          <w:iCs/>
          <w:color w:val="auto"/>
          <w:sz w:val="22"/>
          <w:szCs w:val="22"/>
          <w:lang w:eastAsia="nl-NL" w:bidi="nl-NL"/>
        </w:rPr>
        <w:t>Assignment Length</w:t>
      </w:r>
      <w:bookmarkEnd w:id="87"/>
      <w:bookmarkEnd w:id="88"/>
    </w:p>
    <w:p w14:paraId="7881A5C7" w14:textId="25EE0757" w:rsidR="00851A67" w:rsidRPr="0051357C" w:rsidRDefault="6B3824FD" w:rsidP="6B3824FD">
      <w:pPr>
        <w:jc w:val="both"/>
        <w:rPr>
          <w:rFonts w:asciiTheme="majorHAnsi" w:eastAsia="Calibri" w:hAnsiTheme="majorHAnsi" w:cstheme="majorBidi"/>
          <w:sz w:val="22"/>
          <w:szCs w:val="22"/>
          <w:lang w:eastAsia="nl-NL" w:bidi="nl-NL"/>
        </w:rPr>
      </w:pPr>
      <w:r w:rsidRPr="6B3824FD">
        <w:rPr>
          <w:rFonts w:asciiTheme="majorHAnsi" w:hAnsiTheme="majorHAnsi" w:cstheme="majorBidi"/>
          <w:sz w:val="22"/>
          <w:szCs w:val="22"/>
          <w:lang w:eastAsia="nl-NL" w:bidi="nl-NL"/>
        </w:rPr>
        <w:t>The length of an assignment should not exceed more than 12 calendar months. The local HR Business Partner is responsible for keeping track of expiring contracts.</w:t>
      </w:r>
    </w:p>
    <w:p w14:paraId="20C1CC90" w14:textId="2797B27E" w:rsidR="00851A67" w:rsidRPr="0051357C" w:rsidRDefault="00851A67" w:rsidP="0051357C">
      <w:pPr>
        <w:pStyle w:val="Heading3"/>
        <w:numPr>
          <w:ilvl w:val="0"/>
          <w:numId w:val="0"/>
        </w:numPr>
        <w:jc w:val="both"/>
        <w:rPr>
          <w:rFonts w:eastAsia="Calibri"/>
          <w:i/>
          <w:iCs/>
          <w:color w:val="auto"/>
          <w:sz w:val="22"/>
          <w:szCs w:val="22"/>
          <w:lang w:eastAsia="nl-NL" w:bidi="nl-NL"/>
        </w:rPr>
      </w:pPr>
      <w:bookmarkStart w:id="89" w:name="_Toc64992961"/>
      <w:bookmarkStart w:id="90" w:name="_Toc186790738"/>
      <w:r w:rsidRPr="0051357C">
        <w:rPr>
          <w:rFonts w:eastAsia="Calibri"/>
          <w:i/>
          <w:iCs/>
          <w:color w:val="auto"/>
          <w:sz w:val="22"/>
          <w:szCs w:val="22"/>
          <w:lang w:eastAsia="nl-NL" w:bidi="nl-NL"/>
        </w:rPr>
        <w:t>Assignment Extensions</w:t>
      </w:r>
      <w:bookmarkEnd w:id="89"/>
      <w:bookmarkEnd w:id="90"/>
    </w:p>
    <w:p w14:paraId="45D18129" w14:textId="439C9390" w:rsidR="00851A67" w:rsidRPr="0051357C" w:rsidRDefault="6B3824FD" w:rsidP="6B3824FD">
      <w:pPr>
        <w:jc w:val="both"/>
        <w:rPr>
          <w:rFonts w:asciiTheme="majorHAnsi" w:hAnsiTheme="majorHAnsi" w:cstheme="majorBidi"/>
          <w:sz w:val="22"/>
          <w:szCs w:val="22"/>
          <w:lang w:eastAsia="nl-NL" w:bidi="nl-NL"/>
        </w:rPr>
      </w:pPr>
      <w:r w:rsidRPr="6B3824FD">
        <w:rPr>
          <w:rFonts w:asciiTheme="majorHAnsi" w:hAnsiTheme="majorHAnsi" w:cstheme="majorBidi"/>
          <w:sz w:val="22"/>
          <w:szCs w:val="22"/>
          <w:lang w:eastAsia="nl-NL" w:bidi="nl-NL"/>
        </w:rPr>
        <w:t>Any assignment can be extended beyond 12 calendar months by obtaining formal approval from the Regional VP/SVP Human Resources and Regional General Counsel.  In some countries the number of extensions possible is limited. In these scenarios, please follow the local legislation and contact the local HR business partner.</w:t>
      </w:r>
    </w:p>
    <w:p w14:paraId="7F702D9D" w14:textId="77777777" w:rsidR="00851A67" w:rsidRPr="0051357C" w:rsidRDefault="00851A67" w:rsidP="0051357C">
      <w:pPr>
        <w:pStyle w:val="Heading3"/>
        <w:numPr>
          <w:ilvl w:val="0"/>
          <w:numId w:val="0"/>
        </w:numPr>
        <w:jc w:val="both"/>
        <w:rPr>
          <w:rFonts w:eastAsia="Calibri"/>
          <w:i/>
          <w:iCs/>
          <w:color w:val="auto"/>
          <w:sz w:val="22"/>
          <w:szCs w:val="22"/>
          <w:lang w:eastAsia="nl-NL" w:bidi="nl-NL"/>
        </w:rPr>
      </w:pPr>
      <w:bookmarkStart w:id="91" w:name="_Toc64992962"/>
      <w:bookmarkStart w:id="92" w:name="_Toc186790739"/>
      <w:r w:rsidRPr="0051357C">
        <w:rPr>
          <w:rFonts w:eastAsia="Calibri"/>
          <w:i/>
          <w:iCs/>
          <w:color w:val="auto"/>
          <w:sz w:val="22"/>
          <w:szCs w:val="22"/>
          <w:lang w:eastAsia="nl-NL" w:bidi="nl-NL"/>
        </w:rPr>
        <w:t>Worker tenure separation period</w:t>
      </w:r>
      <w:bookmarkEnd w:id="91"/>
      <w:bookmarkEnd w:id="92"/>
    </w:p>
    <w:p w14:paraId="3068D38B" w14:textId="70D9A77E" w:rsidR="00D011F3" w:rsidRPr="0051357C" w:rsidRDefault="00162A8C" w:rsidP="0051357C">
      <w:pPr>
        <w:jc w:val="both"/>
        <w:rPr>
          <w:rFonts w:asciiTheme="majorHAnsi" w:hAnsiTheme="majorHAnsi" w:cstheme="majorBidi"/>
          <w:sz w:val="22"/>
          <w:szCs w:val="22"/>
          <w:lang w:eastAsia="nl-NL" w:bidi="nl-NL"/>
        </w:rPr>
      </w:pPr>
      <w:r>
        <w:rPr>
          <w:rFonts w:asciiTheme="majorHAnsi" w:hAnsiTheme="majorHAnsi" w:cstheme="majorBidi"/>
          <w:sz w:val="22"/>
          <w:szCs w:val="22"/>
          <w:lang w:eastAsia="nl-NL" w:bidi="nl-NL"/>
        </w:rPr>
        <w:t xml:space="preserve">Subject to applicable law, </w:t>
      </w:r>
      <w:r w:rsidR="005F009E">
        <w:rPr>
          <w:rFonts w:asciiTheme="majorHAnsi" w:hAnsiTheme="majorHAnsi" w:cstheme="majorBidi"/>
          <w:sz w:val="22"/>
          <w:szCs w:val="22"/>
          <w:lang w:eastAsia="nl-NL" w:bidi="nl-NL"/>
        </w:rPr>
        <w:t>i</w:t>
      </w:r>
      <w:r w:rsidR="00D011F3" w:rsidRPr="0051357C">
        <w:rPr>
          <w:rFonts w:asciiTheme="majorHAnsi" w:hAnsiTheme="majorHAnsi" w:cstheme="majorBidi"/>
          <w:sz w:val="22"/>
          <w:szCs w:val="22"/>
          <w:lang w:eastAsia="nl-NL" w:bidi="nl-NL"/>
        </w:rPr>
        <w:t>f the 3-month break is to be waived, prior legal consultation and alignment are required.</w:t>
      </w:r>
      <w:r w:rsidR="00CA1A83">
        <w:rPr>
          <w:rFonts w:asciiTheme="majorHAnsi" w:hAnsiTheme="majorHAnsi" w:cstheme="majorBidi"/>
          <w:sz w:val="22"/>
          <w:szCs w:val="22"/>
          <w:lang w:eastAsia="nl-NL" w:bidi="nl-NL"/>
        </w:rPr>
        <w:t xml:space="preserve"> </w:t>
      </w:r>
      <w:r w:rsidR="00D011F3" w:rsidRPr="0051357C">
        <w:rPr>
          <w:rFonts w:asciiTheme="majorHAnsi" w:hAnsiTheme="majorHAnsi" w:cstheme="majorBidi"/>
          <w:sz w:val="22"/>
          <w:szCs w:val="22"/>
          <w:lang w:eastAsia="nl-NL" w:bidi="nl-NL"/>
        </w:rPr>
        <w:t>It is important to note that the 24-month limit applies to the worker's total tenure with Brink’s, not to the duration of individual assignments. Therefore, the time between the worker’s initial start date with Brink’s and any potential extension cannot exceed 24 months in total.</w:t>
      </w:r>
      <w:r w:rsidR="00CA1A83">
        <w:rPr>
          <w:rFonts w:asciiTheme="majorHAnsi" w:hAnsiTheme="majorHAnsi" w:cstheme="majorBidi"/>
          <w:sz w:val="22"/>
          <w:szCs w:val="22"/>
          <w:lang w:eastAsia="nl-NL" w:bidi="nl-NL"/>
        </w:rPr>
        <w:t xml:space="preserve"> </w:t>
      </w:r>
      <w:r w:rsidR="00D011F3" w:rsidRPr="0051357C">
        <w:rPr>
          <w:rFonts w:asciiTheme="majorHAnsi" w:hAnsiTheme="majorHAnsi" w:cstheme="majorBidi"/>
          <w:sz w:val="22"/>
          <w:szCs w:val="22"/>
          <w:lang w:eastAsia="nl-NL" w:bidi="nl-NL"/>
        </w:rPr>
        <w:t xml:space="preserve">For example, if a </w:t>
      </w:r>
      <w:r w:rsidR="00F51329">
        <w:rPr>
          <w:rFonts w:asciiTheme="majorHAnsi" w:hAnsiTheme="majorHAnsi" w:cstheme="majorBidi"/>
          <w:sz w:val="22"/>
          <w:szCs w:val="22"/>
          <w:lang w:eastAsia="nl-NL" w:bidi="nl-NL"/>
        </w:rPr>
        <w:t>C</w:t>
      </w:r>
      <w:r w:rsidR="00276EF9">
        <w:rPr>
          <w:rFonts w:asciiTheme="majorHAnsi" w:hAnsiTheme="majorHAnsi" w:cstheme="majorBidi"/>
          <w:sz w:val="22"/>
          <w:szCs w:val="22"/>
          <w:lang w:eastAsia="nl-NL" w:bidi="nl-NL"/>
        </w:rPr>
        <w:t>ontingent</w:t>
      </w:r>
      <w:r w:rsidR="00D011F3" w:rsidRPr="0051357C">
        <w:rPr>
          <w:rFonts w:asciiTheme="majorHAnsi" w:hAnsiTheme="majorHAnsi" w:cstheme="majorBidi"/>
          <w:sz w:val="22"/>
          <w:szCs w:val="22"/>
          <w:lang w:eastAsia="nl-NL" w:bidi="nl-NL"/>
        </w:rPr>
        <w:t xml:space="preserve"> </w:t>
      </w:r>
      <w:r w:rsidR="00F51329">
        <w:rPr>
          <w:rFonts w:asciiTheme="majorHAnsi" w:hAnsiTheme="majorHAnsi" w:cstheme="majorBidi"/>
          <w:sz w:val="22"/>
          <w:szCs w:val="22"/>
          <w:lang w:eastAsia="nl-NL" w:bidi="nl-NL"/>
        </w:rPr>
        <w:t>W</w:t>
      </w:r>
      <w:r w:rsidR="00D011F3" w:rsidRPr="0051357C">
        <w:rPr>
          <w:rFonts w:asciiTheme="majorHAnsi" w:hAnsiTheme="majorHAnsi" w:cstheme="majorBidi"/>
          <w:sz w:val="22"/>
          <w:szCs w:val="22"/>
          <w:lang w:eastAsia="nl-NL" w:bidi="nl-NL"/>
        </w:rPr>
        <w:t xml:space="preserve">orker is hired for three consecutive assignments, each lasting 8 months, the cumulative tenure would reach 24 months. In this case, the worker </w:t>
      </w:r>
      <w:r w:rsidR="006F2F0E">
        <w:rPr>
          <w:rFonts w:asciiTheme="majorHAnsi" w:hAnsiTheme="majorHAnsi" w:cstheme="majorBidi"/>
          <w:sz w:val="22"/>
          <w:szCs w:val="22"/>
          <w:lang w:eastAsia="nl-NL" w:bidi="nl-NL"/>
        </w:rPr>
        <w:t>should not</w:t>
      </w:r>
      <w:r w:rsidR="006F2F0E" w:rsidRPr="0051357C">
        <w:rPr>
          <w:rFonts w:asciiTheme="majorHAnsi" w:hAnsiTheme="majorHAnsi" w:cstheme="majorBidi"/>
          <w:sz w:val="22"/>
          <w:szCs w:val="22"/>
          <w:lang w:eastAsia="nl-NL" w:bidi="nl-NL"/>
        </w:rPr>
        <w:t xml:space="preserve"> </w:t>
      </w:r>
      <w:r w:rsidR="001871C6">
        <w:rPr>
          <w:rFonts w:asciiTheme="majorHAnsi" w:hAnsiTheme="majorHAnsi" w:cstheme="majorBidi"/>
          <w:sz w:val="22"/>
          <w:szCs w:val="22"/>
          <w:lang w:eastAsia="nl-NL" w:bidi="nl-NL"/>
        </w:rPr>
        <w:t>extend</w:t>
      </w:r>
      <w:r w:rsidR="00D011F3" w:rsidRPr="0051357C">
        <w:rPr>
          <w:rFonts w:asciiTheme="majorHAnsi" w:hAnsiTheme="majorHAnsi" w:cstheme="majorBidi"/>
          <w:sz w:val="22"/>
          <w:szCs w:val="22"/>
          <w:lang w:eastAsia="nl-NL" w:bidi="nl-NL"/>
        </w:rPr>
        <w:t>, even if the new assignment is for a different project or requirement.</w:t>
      </w:r>
    </w:p>
    <w:p w14:paraId="3F602256" w14:textId="77777777" w:rsidR="00851A67" w:rsidRPr="0051357C" w:rsidRDefault="00851A67" w:rsidP="0051357C">
      <w:pPr>
        <w:pStyle w:val="Heading3"/>
        <w:numPr>
          <w:ilvl w:val="0"/>
          <w:numId w:val="0"/>
        </w:numPr>
        <w:jc w:val="both"/>
        <w:rPr>
          <w:rFonts w:eastAsia="Calibri"/>
          <w:i/>
          <w:iCs/>
          <w:color w:val="auto"/>
          <w:sz w:val="22"/>
          <w:szCs w:val="22"/>
          <w:lang w:eastAsia="nl-NL" w:bidi="nl-NL"/>
        </w:rPr>
      </w:pPr>
      <w:bookmarkStart w:id="93" w:name="_Toc186790740"/>
      <w:r w:rsidRPr="0051357C">
        <w:rPr>
          <w:rFonts w:eastAsia="Calibri"/>
          <w:i/>
          <w:iCs/>
          <w:color w:val="auto"/>
          <w:sz w:val="22"/>
          <w:szCs w:val="22"/>
          <w:lang w:eastAsia="nl-NL" w:bidi="nl-NL"/>
        </w:rPr>
        <w:t>Assignment Overtime</w:t>
      </w:r>
      <w:bookmarkEnd w:id="93"/>
    </w:p>
    <w:p w14:paraId="60E97CD5" w14:textId="53532CEB" w:rsidR="00851A67" w:rsidRPr="0051357C" w:rsidRDefault="6B3824FD" w:rsidP="6B3824FD">
      <w:pPr>
        <w:jc w:val="both"/>
        <w:rPr>
          <w:rFonts w:asciiTheme="majorHAnsi" w:eastAsia="Calibri" w:hAnsiTheme="majorHAnsi" w:cstheme="majorBidi"/>
          <w:sz w:val="22"/>
          <w:szCs w:val="22"/>
          <w:lang w:eastAsia="nl-NL" w:bidi="nl-NL"/>
        </w:rPr>
      </w:pPr>
      <w:r w:rsidRPr="6B3824FD">
        <w:rPr>
          <w:rFonts w:asciiTheme="majorHAnsi" w:eastAsia="Calibri" w:hAnsiTheme="majorHAnsi" w:cstheme="majorBidi"/>
          <w:sz w:val="22"/>
          <w:szCs w:val="22"/>
          <w:lang w:eastAsia="nl-NL" w:bidi="nl-NL"/>
        </w:rPr>
        <w:t>Working overtime (</w:t>
      </w:r>
      <w:r w:rsidR="00210416">
        <w:rPr>
          <w:rFonts w:asciiTheme="majorHAnsi" w:eastAsia="Calibri" w:hAnsiTheme="majorHAnsi" w:cstheme="majorBidi"/>
          <w:sz w:val="22"/>
          <w:szCs w:val="22"/>
          <w:lang w:eastAsia="nl-NL" w:bidi="nl-NL"/>
        </w:rPr>
        <w:t xml:space="preserve">or </w:t>
      </w:r>
      <w:r w:rsidRPr="6B3824FD">
        <w:rPr>
          <w:rFonts w:asciiTheme="majorHAnsi" w:eastAsia="Calibri" w:hAnsiTheme="majorHAnsi" w:cstheme="majorBidi"/>
          <w:sz w:val="22"/>
          <w:szCs w:val="22"/>
          <w:lang w:eastAsia="nl-NL" w:bidi="nl-NL"/>
        </w:rPr>
        <w:t>more than the agreed upon hours) is not allowed and will not be compensated without the approval of the relevant Brink’s business leader for all contingent knowledge workers</w:t>
      </w:r>
      <w:r w:rsidR="00210416">
        <w:rPr>
          <w:rFonts w:asciiTheme="majorHAnsi" w:eastAsia="Calibri" w:hAnsiTheme="majorHAnsi" w:cstheme="majorBidi"/>
          <w:sz w:val="22"/>
          <w:szCs w:val="22"/>
          <w:lang w:eastAsia="nl-NL" w:bidi="nl-NL"/>
        </w:rPr>
        <w:t>, unless compensation for unauthorized hours worked is required by applicable law</w:t>
      </w:r>
      <w:r w:rsidRPr="6B3824FD">
        <w:rPr>
          <w:rFonts w:asciiTheme="majorHAnsi" w:eastAsia="Calibri" w:hAnsiTheme="majorHAnsi" w:cstheme="majorBidi"/>
          <w:sz w:val="22"/>
          <w:szCs w:val="22"/>
          <w:lang w:eastAsia="nl-NL" w:bidi="nl-NL"/>
        </w:rPr>
        <w:t xml:space="preserve">. </w:t>
      </w:r>
    </w:p>
    <w:p w14:paraId="7866D736" w14:textId="77777777" w:rsidR="00851A67" w:rsidRPr="0051357C" w:rsidRDefault="00851A67" w:rsidP="0051357C">
      <w:pPr>
        <w:pStyle w:val="Heading3"/>
        <w:numPr>
          <w:ilvl w:val="0"/>
          <w:numId w:val="0"/>
        </w:numPr>
        <w:jc w:val="both"/>
        <w:rPr>
          <w:rFonts w:eastAsia="Calibri"/>
          <w:i/>
          <w:iCs/>
          <w:color w:val="auto"/>
          <w:sz w:val="22"/>
          <w:szCs w:val="22"/>
          <w:lang w:eastAsia="nl-NL" w:bidi="nl-NL"/>
        </w:rPr>
      </w:pPr>
      <w:bookmarkStart w:id="94" w:name="_Toc64992964"/>
      <w:bookmarkStart w:id="95" w:name="_Toc186790741"/>
      <w:r w:rsidRPr="0051357C">
        <w:rPr>
          <w:rFonts w:eastAsia="Calibri"/>
          <w:i/>
          <w:iCs/>
          <w:color w:val="auto"/>
          <w:sz w:val="22"/>
          <w:szCs w:val="22"/>
          <w:lang w:eastAsia="nl-NL" w:bidi="nl-NL"/>
        </w:rPr>
        <w:t>Furlough</w:t>
      </w:r>
      <w:bookmarkEnd w:id="94"/>
      <w:bookmarkEnd w:id="95"/>
    </w:p>
    <w:p w14:paraId="0C269785" w14:textId="137C1A18" w:rsidR="00851A67" w:rsidRPr="0051357C" w:rsidRDefault="00851A67" w:rsidP="00851A67">
      <w:pPr>
        <w:jc w:val="both"/>
        <w:rPr>
          <w:rFonts w:asciiTheme="majorHAnsi" w:eastAsia="Calibri" w:hAnsiTheme="majorHAnsi" w:cstheme="majorBidi"/>
          <w:sz w:val="22"/>
          <w:szCs w:val="22"/>
          <w:lang w:eastAsia="nl-NL" w:bidi="nl-NL"/>
        </w:rPr>
      </w:pPr>
      <w:r w:rsidRPr="0051357C">
        <w:rPr>
          <w:rFonts w:asciiTheme="majorHAnsi" w:eastAsia="Calibri" w:hAnsiTheme="majorHAnsi" w:cstheme="majorBidi"/>
          <w:sz w:val="22"/>
          <w:szCs w:val="22"/>
          <w:lang w:eastAsia="nl-NL" w:bidi="nl-NL"/>
        </w:rPr>
        <w:t xml:space="preserve">Furlough is applicable for all </w:t>
      </w:r>
      <w:r w:rsidR="009701D2">
        <w:rPr>
          <w:rFonts w:asciiTheme="majorHAnsi" w:eastAsia="Calibri" w:hAnsiTheme="majorHAnsi" w:cstheme="majorBidi"/>
          <w:sz w:val="22"/>
          <w:szCs w:val="22"/>
          <w:lang w:eastAsia="nl-NL" w:bidi="nl-NL"/>
        </w:rPr>
        <w:t>contingent</w:t>
      </w:r>
      <w:r w:rsidRPr="0051357C">
        <w:rPr>
          <w:rFonts w:asciiTheme="majorHAnsi" w:eastAsia="Calibri" w:hAnsiTheme="majorHAnsi" w:cstheme="majorBidi"/>
          <w:sz w:val="22"/>
          <w:szCs w:val="22"/>
          <w:lang w:eastAsia="nl-NL" w:bidi="nl-NL"/>
        </w:rPr>
        <w:t xml:space="preserve"> </w:t>
      </w:r>
      <w:r w:rsidR="00E62F05">
        <w:rPr>
          <w:rFonts w:asciiTheme="majorHAnsi" w:eastAsia="Calibri" w:hAnsiTheme="majorHAnsi" w:cstheme="majorBidi"/>
          <w:sz w:val="22"/>
          <w:szCs w:val="22"/>
          <w:lang w:eastAsia="nl-NL" w:bidi="nl-NL"/>
        </w:rPr>
        <w:t>K</w:t>
      </w:r>
      <w:r w:rsidR="002B3CEE">
        <w:rPr>
          <w:rFonts w:asciiTheme="majorHAnsi" w:eastAsia="Calibri" w:hAnsiTheme="majorHAnsi" w:cstheme="majorBidi"/>
          <w:sz w:val="22"/>
          <w:szCs w:val="22"/>
          <w:lang w:eastAsia="nl-NL" w:bidi="nl-NL"/>
        </w:rPr>
        <w:t>nowledge</w:t>
      </w:r>
      <w:r w:rsidRPr="0051357C">
        <w:rPr>
          <w:rFonts w:asciiTheme="majorHAnsi" w:eastAsia="Calibri" w:hAnsiTheme="majorHAnsi" w:cstheme="majorBidi"/>
          <w:sz w:val="22"/>
          <w:szCs w:val="22"/>
          <w:lang w:eastAsia="nl-NL" w:bidi="nl-NL"/>
        </w:rPr>
        <w:t xml:space="preserve"> </w:t>
      </w:r>
      <w:r w:rsidR="00E62F05">
        <w:rPr>
          <w:rFonts w:asciiTheme="majorHAnsi" w:eastAsia="Calibri" w:hAnsiTheme="majorHAnsi" w:cstheme="majorBidi"/>
          <w:sz w:val="22"/>
          <w:szCs w:val="22"/>
          <w:lang w:eastAsia="nl-NL" w:bidi="nl-NL"/>
        </w:rPr>
        <w:t>W</w:t>
      </w:r>
      <w:r w:rsidRPr="0051357C">
        <w:rPr>
          <w:rFonts w:asciiTheme="majorHAnsi" w:eastAsia="Calibri" w:hAnsiTheme="majorHAnsi" w:cstheme="majorBidi"/>
          <w:sz w:val="22"/>
          <w:szCs w:val="22"/>
          <w:lang w:eastAsia="nl-NL" w:bidi="nl-NL"/>
        </w:rPr>
        <w:t>orkers</w:t>
      </w:r>
      <w:r w:rsidR="00CF3516">
        <w:rPr>
          <w:rFonts w:asciiTheme="majorHAnsi" w:eastAsia="Calibri" w:hAnsiTheme="majorHAnsi" w:cstheme="majorBidi"/>
          <w:sz w:val="22"/>
          <w:szCs w:val="22"/>
          <w:lang w:eastAsia="nl-NL" w:bidi="nl-NL"/>
        </w:rPr>
        <w:t xml:space="preserve"> according to </w:t>
      </w:r>
      <w:r w:rsidR="00C47FFD">
        <w:rPr>
          <w:rFonts w:asciiTheme="majorHAnsi" w:eastAsia="Calibri" w:hAnsiTheme="majorHAnsi" w:cstheme="majorBidi"/>
          <w:sz w:val="22"/>
          <w:szCs w:val="22"/>
          <w:lang w:eastAsia="nl-NL" w:bidi="nl-NL"/>
        </w:rPr>
        <w:t xml:space="preserve">local legislation. </w:t>
      </w:r>
    </w:p>
    <w:p w14:paraId="30031C7C" w14:textId="67448CDB" w:rsidR="00DE1765" w:rsidRDefault="0039343D" w:rsidP="0051357C">
      <w:pPr>
        <w:pStyle w:val="Heading3"/>
        <w:numPr>
          <w:ilvl w:val="0"/>
          <w:numId w:val="0"/>
        </w:numPr>
        <w:jc w:val="both"/>
        <w:rPr>
          <w:lang w:eastAsia="nl-NL" w:bidi="nl-NL"/>
        </w:rPr>
      </w:pPr>
      <w:bookmarkStart w:id="96" w:name="_Toc186790742"/>
      <w:r>
        <w:rPr>
          <w:rFonts w:eastAsia="Calibri"/>
          <w:i/>
          <w:iCs/>
          <w:color w:val="auto"/>
          <w:sz w:val="22"/>
          <w:szCs w:val="22"/>
          <w:lang w:eastAsia="nl-NL" w:bidi="nl-NL"/>
        </w:rPr>
        <w:t>Referred Hires</w:t>
      </w:r>
      <w:bookmarkEnd w:id="96"/>
    </w:p>
    <w:p w14:paraId="46CF149F" w14:textId="1FC8BDA3" w:rsidR="00851A67" w:rsidRPr="0051357C" w:rsidRDefault="6B3824FD" w:rsidP="6B3824FD">
      <w:pPr>
        <w:jc w:val="both"/>
        <w:rPr>
          <w:rFonts w:asciiTheme="majorHAnsi" w:eastAsia="Calibri" w:hAnsiTheme="majorHAnsi" w:cstheme="majorBidi"/>
          <w:sz w:val="22"/>
          <w:szCs w:val="22"/>
          <w:lang w:eastAsia="nl-NL" w:bidi="nl-NL"/>
        </w:rPr>
      </w:pPr>
      <w:r w:rsidRPr="6B3824FD">
        <w:rPr>
          <w:rFonts w:asciiTheme="majorHAnsi" w:eastAsia="Calibri" w:hAnsiTheme="majorHAnsi" w:cstheme="majorBidi"/>
          <w:sz w:val="22"/>
          <w:szCs w:val="22"/>
          <w:lang w:val="en-GB" w:eastAsia="nl-NL" w:bidi="nl-NL"/>
        </w:rPr>
        <w:t>The practice of</w:t>
      </w:r>
      <w:r w:rsidR="000B6CBA">
        <w:rPr>
          <w:rFonts w:asciiTheme="majorHAnsi" w:eastAsia="Calibri" w:hAnsiTheme="majorHAnsi" w:cstheme="majorBidi"/>
          <w:sz w:val="22"/>
          <w:szCs w:val="22"/>
          <w:lang w:val="en-GB" w:eastAsia="nl-NL" w:bidi="nl-NL"/>
        </w:rPr>
        <w:t xml:space="preserve"> a </w:t>
      </w:r>
      <w:r w:rsidR="00C475E0">
        <w:rPr>
          <w:rFonts w:asciiTheme="majorHAnsi" w:eastAsia="Calibri" w:hAnsiTheme="majorHAnsi" w:cstheme="majorBidi"/>
          <w:sz w:val="22"/>
          <w:szCs w:val="22"/>
          <w:lang w:val="en-GB" w:eastAsia="nl-NL" w:bidi="nl-NL"/>
        </w:rPr>
        <w:t xml:space="preserve">Brink’s employee </w:t>
      </w:r>
      <w:r w:rsidR="0039343D">
        <w:rPr>
          <w:rFonts w:asciiTheme="majorHAnsi" w:eastAsia="Calibri" w:hAnsiTheme="majorHAnsi" w:cstheme="majorBidi"/>
          <w:sz w:val="22"/>
          <w:szCs w:val="22"/>
          <w:lang w:val="en-GB" w:eastAsia="nl-NL" w:bidi="nl-NL"/>
        </w:rPr>
        <w:t>referring external</w:t>
      </w:r>
      <w:r w:rsidRPr="6B3824FD">
        <w:rPr>
          <w:rFonts w:asciiTheme="majorHAnsi" w:eastAsia="Calibri" w:hAnsiTheme="majorHAnsi" w:cstheme="majorBidi"/>
          <w:sz w:val="22"/>
          <w:szCs w:val="22"/>
          <w:lang w:val="en-GB" w:eastAsia="nl-NL" w:bidi="nl-NL"/>
        </w:rPr>
        <w:t xml:space="preserve"> hires—where a specific external worker is selected for employment without undergoing a competitive selection process—is strictly prohibited</w:t>
      </w:r>
      <w:r w:rsidR="00D730F4">
        <w:rPr>
          <w:rFonts w:asciiTheme="majorHAnsi" w:eastAsia="Calibri" w:hAnsiTheme="majorHAnsi" w:cstheme="majorBidi"/>
          <w:sz w:val="22"/>
          <w:szCs w:val="22"/>
          <w:lang w:val="en-GB" w:eastAsia="nl-NL" w:bidi="nl-NL"/>
        </w:rPr>
        <w:t xml:space="preserve">. </w:t>
      </w:r>
      <w:r w:rsidR="00DF21BE" w:rsidRPr="00DF21BE">
        <w:rPr>
          <w:rFonts w:asciiTheme="majorHAnsi" w:eastAsia="Calibri" w:hAnsiTheme="majorHAnsi" w:cstheme="majorBidi"/>
          <w:sz w:val="22"/>
          <w:szCs w:val="22"/>
          <w:lang w:val="en-GB" w:eastAsia="nl-NL" w:bidi="nl-NL"/>
        </w:rPr>
        <w:t>Brink’s is an equal opportunity employer</w:t>
      </w:r>
      <w:r w:rsidR="00DF21BE">
        <w:rPr>
          <w:rFonts w:asciiTheme="majorHAnsi" w:eastAsia="Calibri" w:hAnsiTheme="majorHAnsi" w:cstheme="majorBidi"/>
          <w:sz w:val="22"/>
          <w:szCs w:val="22"/>
          <w:lang w:val="en-GB" w:eastAsia="nl-NL" w:bidi="nl-NL"/>
        </w:rPr>
        <w:t>.</w:t>
      </w:r>
      <w:r w:rsidR="00DF21BE" w:rsidRPr="00DF21BE">
        <w:rPr>
          <w:rFonts w:asciiTheme="majorHAnsi" w:eastAsia="Calibri" w:hAnsiTheme="majorHAnsi" w:cstheme="majorBidi"/>
          <w:sz w:val="22"/>
          <w:szCs w:val="22"/>
          <w:lang w:val="en-GB" w:eastAsia="nl-NL" w:bidi="nl-NL"/>
        </w:rPr>
        <w:t xml:space="preserve"> </w:t>
      </w:r>
      <w:r w:rsidRPr="6B3824FD">
        <w:rPr>
          <w:rFonts w:asciiTheme="majorHAnsi" w:eastAsia="Calibri" w:hAnsiTheme="majorHAnsi" w:cstheme="majorBidi"/>
          <w:sz w:val="22"/>
          <w:szCs w:val="22"/>
          <w:lang w:val="en-GB" w:eastAsia="nl-NL" w:bidi="nl-NL"/>
        </w:rPr>
        <w:t xml:space="preserve">This policy ensures that hiring decisions are made transparently and fairly, allowing all potential candidates equal opportunity to compete for positions. It also mitigates risks associated with favoritism, reduces the likelihood of non-compliance with internal policies, and aligns with company standards for fairness and cost-effectiveness in staffing. In exceptional cases where a </w:t>
      </w:r>
      <w:r w:rsidR="00DC101C">
        <w:rPr>
          <w:rFonts w:asciiTheme="majorHAnsi" w:eastAsia="Calibri" w:hAnsiTheme="majorHAnsi" w:cstheme="majorBidi"/>
          <w:sz w:val="22"/>
          <w:szCs w:val="22"/>
          <w:lang w:val="en-GB" w:eastAsia="nl-NL" w:bidi="nl-NL"/>
        </w:rPr>
        <w:t>referred</w:t>
      </w:r>
      <w:r w:rsidR="00DC101C" w:rsidRPr="6B3824FD">
        <w:rPr>
          <w:rFonts w:asciiTheme="majorHAnsi" w:eastAsia="Calibri" w:hAnsiTheme="majorHAnsi" w:cstheme="majorBidi"/>
          <w:sz w:val="22"/>
          <w:szCs w:val="22"/>
          <w:lang w:val="en-GB" w:eastAsia="nl-NL" w:bidi="nl-NL"/>
        </w:rPr>
        <w:t xml:space="preserve"> </w:t>
      </w:r>
      <w:r w:rsidRPr="6B3824FD">
        <w:rPr>
          <w:rFonts w:asciiTheme="majorHAnsi" w:eastAsia="Calibri" w:hAnsiTheme="majorHAnsi" w:cstheme="majorBidi"/>
          <w:sz w:val="22"/>
          <w:szCs w:val="22"/>
          <w:lang w:val="en-GB" w:eastAsia="nl-NL" w:bidi="nl-NL"/>
        </w:rPr>
        <w:t xml:space="preserve">hire is considered necessary—such as when a candidate possesses unique skills or experience critical to a project—proper justification must be provided. </w:t>
      </w:r>
      <w:r w:rsidR="00B1770E">
        <w:rPr>
          <w:rFonts w:asciiTheme="majorHAnsi" w:eastAsia="Calibri" w:hAnsiTheme="majorHAnsi" w:cstheme="majorBidi"/>
          <w:sz w:val="22"/>
          <w:szCs w:val="22"/>
          <w:lang w:val="en-GB" w:eastAsia="nl-NL" w:bidi="nl-NL"/>
        </w:rPr>
        <w:t>Any exceptions require a</w:t>
      </w:r>
      <w:r w:rsidRPr="6B3824FD">
        <w:rPr>
          <w:rFonts w:asciiTheme="majorHAnsi" w:eastAsia="Calibri" w:hAnsiTheme="majorHAnsi" w:cstheme="majorBidi"/>
          <w:sz w:val="22"/>
          <w:szCs w:val="22"/>
          <w:lang w:val="en-GB" w:eastAsia="nl-NL" w:bidi="nl-NL"/>
        </w:rPr>
        <w:t>pproval from</w:t>
      </w:r>
      <w:r w:rsidR="00B1770E">
        <w:rPr>
          <w:rFonts w:asciiTheme="majorHAnsi" w:eastAsia="Calibri" w:hAnsiTheme="majorHAnsi" w:cstheme="majorBidi"/>
          <w:sz w:val="22"/>
          <w:szCs w:val="22"/>
          <w:lang w:val="en-GB" w:eastAsia="nl-NL" w:bidi="nl-NL"/>
        </w:rPr>
        <w:t xml:space="preserve"> the</w:t>
      </w:r>
      <w:r w:rsidRPr="6B3824FD">
        <w:rPr>
          <w:rFonts w:asciiTheme="majorHAnsi" w:eastAsia="Calibri" w:hAnsiTheme="majorHAnsi" w:cstheme="majorBidi"/>
          <w:sz w:val="22"/>
          <w:szCs w:val="22"/>
          <w:lang w:val="en-GB" w:eastAsia="nl-NL" w:bidi="nl-NL"/>
        </w:rPr>
        <w:t xml:space="preserve"> </w:t>
      </w:r>
      <w:r w:rsidR="00AE3B94" w:rsidRPr="6B3824FD">
        <w:rPr>
          <w:rFonts w:asciiTheme="majorHAnsi" w:hAnsiTheme="majorHAnsi" w:cstheme="majorBidi"/>
          <w:sz w:val="22"/>
          <w:szCs w:val="22"/>
          <w:lang w:eastAsia="nl-NL" w:bidi="nl-NL"/>
        </w:rPr>
        <w:t>Regional VP/SVP Human Resources</w:t>
      </w:r>
      <w:r w:rsidR="00C979D2">
        <w:rPr>
          <w:rFonts w:asciiTheme="majorHAnsi" w:hAnsiTheme="majorHAnsi" w:cstheme="majorBidi"/>
          <w:sz w:val="22"/>
          <w:szCs w:val="22"/>
          <w:lang w:eastAsia="nl-NL" w:bidi="nl-NL"/>
        </w:rPr>
        <w:t xml:space="preserve"> </w:t>
      </w:r>
      <w:r w:rsidR="008464AB">
        <w:rPr>
          <w:rFonts w:asciiTheme="majorHAnsi" w:eastAsia="Calibri" w:hAnsiTheme="majorHAnsi" w:cstheme="majorBidi"/>
          <w:sz w:val="22"/>
          <w:szCs w:val="22"/>
          <w:lang w:val="en-GB" w:eastAsia="nl-NL" w:bidi="nl-NL"/>
        </w:rPr>
        <w:t>to</w:t>
      </w:r>
      <w:r w:rsidRPr="6B3824FD">
        <w:rPr>
          <w:rFonts w:asciiTheme="majorHAnsi" w:eastAsia="Calibri" w:hAnsiTheme="majorHAnsi" w:cstheme="majorBidi"/>
          <w:sz w:val="22"/>
          <w:szCs w:val="22"/>
          <w:lang w:val="en-GB" w:eastAsia="nl-NL" w:bidi="nl-NL"/>
        </w:rPr>
        <w:t xml:space="preserve"> ensure that the hiring decision is aligned with broader organizational goals and compliant with procurement policies. Only after receiving such approvals can the recruitment process proceed with the named individual.</w:t>
      </w:r>
    </w:p>
    <w:p w14:paraId="11570396" w14:textId="77777777" w:rsidR="00851A67" w:rsidRPr="0051357C" w:rsidRDefault="00851A67" w:rsidP="0051357C">
      <w:pPr>
        <w:pStyle w:val="Heading3"/>
        <w:numPr>
          <w:ilvl w:val="0"/>
          <w:numId w:val="0"/>
        </w:numPr>
        <w:jc w:val="both"/>
        <w:rPr>
          <w:rFonts w:eastAsia="Calibri"/>
          <w:i/>
          <w:iCs/>
          <w:color w:val="auto"/>
          <w:sz w:val="22"/>
          <w:szCs w:val="22"/>
          <w:lang w:eastAsia="nl-NL" w:bidi="nl-NL"/>
        </w:rPr>
      </w:pPr>
      <w:bookmarkStart w:id="97" w:name="_Toc186790743"/>
      <w:r w:rsidRPr="0051357C">
        <w:rPr>
          <w:rFonts w:eastAsia="Calibri"/>
          <w:i/>
          <w:iCs/>
          <w:color w:val="auto"/>
          <w:sz w:val="22"/>
          <w:szCs w:val="22"/>
          <w:lang w:eastAsia="nl-NL" w:bidi="nl-NL"/>
        </w:rPr>
        <w:t>Expenses and Reimbursements</w:t>
      </w:r>
      <w:bookmarkEnd w:id="97"/>
    </w:p>
    <w:p w14:paraId="4960368C" w14:textId="7BEF30A3" w:rsidR="00851A67" w:rsidRPr="0051357C" w:rsidRDefault="00044C3A" w:rsidP="00851A67">
      <w:pPr>
        <w:jc w:val="both"/>
        <w:rPr>
          <w:rFonts w:asciiTheme="majorHAnsi" w:eastAsia="Calibri" w:hAnsiTheme="majorHAnsi" w:cstheme="majorBidi"/>
          <w:sz w:val="22"/>
          <w:szCs w:val="22"/>
          <w:lang w:eastAsia="nl-NL" w:bidi="nl-NL"/>
        </w:rPr>
      </w:pPr>
      <w:r w:rsidRPr="3766A6B7">
        <w:rPr>
          <w:rFonts w:asciiTheme="majorHAnsi" w:eastAsia="Calibri" w:hAnsiTheme="majorHAnsi" w:cstheme="majorBidi"/>
          <w:sz w:val="22"/>
          <w:szCs w:val="22"/>
          <w:lang w:eastAsia="nl-NL" w:bidi="nl-NL"/>
        </w:rPr>
        <w:t>E</w:t>
      </w:r>
      <w:r w:rsidR="00851A67" w:rsidRPr="0051357C">
        <w:rPr>
          <w:rFonts w:asciiTheme="majorHAnsi" w:eastAsia="Calibri" w:hAnsiTheme="majorHAnsi" w:cstheme="majorBidi"/>
          <w:sz w:val="22"/>
          <w:szCs w:val="22"/>
          <w:lang w:eastAsia="nl-NL" w:bidi="nl-NL"/>
        </w:rPr>
        <w:t xml:space="preserve">xpenses and reimbursements of the expenses are to be aligned with the </w:t>
      </w:r>
      <w:r w:rsidRPr="3766A6B7">
        <w:rPr>
          <w:rFonts w:asciiTheme="majorHAnsi" w:eastAsia="Calibri" w:hAnsiTheme="majorHAnsi" w:cstheme="majorBidi"/>
          <w:sz w:val="22"/>
          <w:szCs w:val="22"/>
          <w:lang w:eastAsia="nl-NL" w:bidi="nl-NL"/>
        </w:rPr>
        <w:t xml:space="preserve">Brink’s </w:t>
      </w:r>
      <w:r w:rsidR="00851A67" w:rsidRPr="0051357C">
        <w:rPr>
          <w:rFonts w:asciiTheme="majorHAnsi" w:eastAsia="Calibri" w:hAnsiTheme="majorHAnsi" w:cstheme="majorBidi"/>
          <w:sz w:val="22"/>
          <w:szCs w:val="22"/>
          <w:lang w:eastAsia="nl-NL" w:bidi="nl-NL"/>
        </w:rPr>
        <w:t>travel policy</w:t>
      </w:r>
      <w:r w:rsidR="006909E9">
        <w:rPr>
          <w:rFonts w:asciiTheme="majorHAnsi" w:eastAsia="Calibri" w:hAnsiTheme="majorHAnsi" w:cstheme="majorBidi"/>
          <w:sz w:val="22"/>
          <w:szCs w:val="22"/>
          <w:lang w:eastAsia="nl-NL" w:bidi="nl-NL"/>
        </w:rPr>
        <w:t>:</w:t>
      </w:r>
      <w:r w:rsidR="00851A67" w:rsidRPr="0051357C">
        <w:rPr>
          <w:rFonts w:asciiTheme="majorHAnsi" w:eastAsia="Calibri" w:hAnsiTheme="majorHAnsi" w:cstheme="majorBidi"/>
          <w:sz w:val="22"/>
          <w:szCs w:val="22"/>
          <w:lang w:eastAsia="nl-NL" w:bidi="nl-NL"/>
        </w:rPr>
        <w:t xml:space="preserve"> </w:t>
      </w:r>
      <w:hyperlink r:id="rId13" w:history="1">
        <w:r w:rsidR="00B96659" w:rsidRPr="00B96659">
          <w:rPr>
            <w:rStyle w:val="Hyperlink"/>
            <w:rFonts w:asciiTheme="majorHAnsi" w:eastAsia="Calibri" w:hAnsiTheme="majorHAnsi" w:cstheme="majorBidi"/>
            <w:sz w:val="22"/>
            <w:szCs w:val="22"/>
            <w:lang w:eastAsia="nl-NL" w:bidi="nl-NL"/>
          </w:rPr>
          <w:t>Brinks Global Travel and Expense - Home</w:t>
        </w:r>
      </w:hyperlink>
      <w:r w:rsidR="00851A67" w:rsidRPr="0051357C">
        <w:rPr>
          <w:rFonts w:asciiTheme="majorHAnsi" w:eastAsia="Calibri" w:hAnsiTheme="majorHAnsi" w:cstheme="majorBidi"/>
          <w:sz w:val="22"/>
          <w:szCs w:val="22"/>
          <w:lang w:eastAsia="nl-NL" w:bidi="nl-NL"/>
        </w:rPr>
        <w:t xml:space="preserve">. </w:t>
      </w:r>
    </w:p>
    <w:p w14:paraId="547A0D5C" w14:textId="3FC863FA" w:rsidR="0059487B" w:rsidRDefault="00851A67" w:rsidP="0051357C">
      <w:pPr>
        <w:pStyle w:val="Heading3"/>
        <w:numPr>
          <w:ilvl w:val="0"/>
          <w:numId w:val="0"/>
        </w:numPr>
        <w:jc w:val="both"/>
        <w:rPr>
          <w:lang w:eastAsia="nl-NL" w:bidi="nl-NL"/>
        </w:rPr>
      </w:pPr>
      <w:bookmarkStart w:id="98" w:name="_Toc64992969"/>
      <w:bookmarkStart w:id="99" w:name="_Toc186790744"/>
      <w:r w:rsidRPr="0051357C">
        <w:rPr>
          <w:rFonts w:eastAsia="Calibri"/>
          <w:i/>
          <w:iCs/>
          <w:color w:val="auto"/>
          <w:sz w:val="22"/>
          <w:szCs w:val="22"/>
          <w:lang w:eastAsia="nl-NL" w:bidi="nl-NL"/>
        </w:rPr>
        <w:t>Risk Management</w:t>
      </w:r>
      <w:bookmarkEnd w:id="98"/>
      <w:bookmarkEnd w:id="99"/>
      <w:r w:rsidRPr="0051357C">
        <w:rPr>
          <w:rFonts w:eastAsia="Calibri"/>
          <w:i/>
          <w:iCs/>
          <w:color w:val="auto"/>
          <w:sz w:val="22"/>
          <w:szCs w:val="22"/>
          <w:lang w:eastAsia="nl-NL" w:bidi="nl-NL"/>
        </w:rPr>
        <w:t xml:space="preserve"> </w:t>
      </w:r>
      <w:bookmarkStart w:id="100" w:name="_Hlk63364643"/>
    </w:p>
    <w:p w14:paraId="52B8FA40" w14:textId="2CCC96FC" w:rsidR="0059487B" w:rsidRDefault="0059487B" w:rsidP="0051357C">
      <w:pPr>
        <w:jc w:val="both"/>
        <w:rPr>
          <w:rFonts w:asciiTheme="majorHAnsi" w:eastAsia="Calibri" w:hAnsiTheme="majorHAnsi" w:cstheme="majorBidi"/>
          <w:sz w:val="22"/>
          <w:szCs w:val="22"/>
          <w:lang w:val="en-GB" w:eastAsia="nl-NL" w:bidi="nl-NL"/>
        </w:rPr>
      </w:pPr>
      <w:r w:rsidRPr="0059487B">
        <w:rPr>
          <w:rFonts w:asciiTheme="majorHAnsi" w:eastAsia="Calibri" w:hAnsiTheme="majorHAnsi" w:cstheme="majorBidi"/>
          <w:sz w:val="22"/>
          <w:szCs w:val="22"/>
          <w:lang w:val="en-GB" w:eastAsia="nl-NL" w:bidi="nl-NL"/>
        </w:rPr>
        <w:t xml:space="preserve">Co-employment arises when a company, such as Brink’s, takes certain actions towards </w:t>
      </w:r>
      <w:r w:rsidR="00C46744">
        <w:rPr>
          <w:rFonts w:asciiTheme="majorHAnsi" w:eastAsia="Calibri" w:hAnsiTheme="majorHAnsi" w:cstheme="majorBidi"/>
          <w:sz w:val="22"/>
          <w:szCs w:val="22"/>
          <w:lang w:val="en-GB" w:eastAsia="nl-NL" w:bidi="nl-NL"/>
        </w:rPr>
        <w:t>C</w:t>
      </w:r>
      <w:r w:rsidRPr="0059487B">
        <w:rPr>
          <w:rFonts w:asciiTheme="majorHAnsi" w:eastAsia="Calibri" w:hAnsiTheme="majorHAnsi" w:cstheme="majorBidi"/>
          <w:sz w:val="22"/>
          <w:szCs w:val="22"/>
          <w:lang w:val="en-GB" w:eastAsia="nl-NL" w:bidi="nl-NL"/>
        </w:rPr>
        <w:t xml:space="preserve">ontingent </w:t>
      </w:r>
      <w:proofErr w:type="spellStart"/>
      <w:r w:rsidR="00C46744">
        <w:rPr>
          <w:rFonts w:asciiTheme="majorHAnsi" w:eastAsia="Calibri" w:hAnsiTheme="majorHAnsi" w:cstheme="majorBidi"/>
          <w:sz w:val="22"/>
          <w:szCs w:val="22"/>
          <w:lang w:val="en-GB" w:eastAsia="nl-NL" w:bidi="nl-NL"/>
        </w:rPr>
        <w:t>Q</w:t>
      </w:r>
      <w:r w:rsidRPr="0059487B">
        <w:rPr>
          <w:rFonts w:asciiTheme="majorHAnsi" w:eastAsia="Calibri" w:hAnsiTheme="majorHAnsi" w:cstheme="majorBidi"/>
          <w:sz w:val="22"/>
          <w:szCs w:val="22"/>
          <w:lang w:val="en-GB" w:eastAsia="nl-NL" w:bidi="nl-NL"/>
        </w:rPr>
        <w:t>orkers</w:t>
      </w:r>
      <w:proofErr w:type="spellEnd"/>
      <w:r w:rsidRPr="0059487B">
        <w:rPr>
          <w:rFonts w:asciiTheme="majorHAnsi" w:eastAsia="Calibri" w:hAnsiTheme="majorHAnsi" w:cstheme="majorBidi"/>
          <w:sz w:val="22"/>
          <w:szCs w:val="22"/>
          <w:lang w:val="en-GB" w:eastAsia="nl-NL" w:bidi="nl-NL"/>
        </w:rPr>
        <w:t xml:space="preserve"> that blur the line between contractor and employee. These actions include, but are not limited to, salary and benefit reviews, performance </w:t>
      </w:r>
      <w:r w:rsidR="00C40913" w:rsidRPr="0059487B">
        <w:rPr>
          <w:rFonts w:asciiTheme="majorHAnsi" w:eastAsia="Calibri" w:hAnsiTheme="majorHAnsi" w:cstheme="majorBidi"/>
          <w:sz w:val="22"/>
          <w:szCs w:val="22"/>
          <w:lang w:val="en-GB" w:eastAsia="nl-NL" w:bidi="nl-NL"/>
        </w:rPr>
        <w:t>counselling</w:t>
      </w:r>
      <w:r w:rsidRPr="0059487B">
        <w:rPr>
          <w:rFonts w:asciiTheme="majorHAnsi" w:eastAsia="Calibri" w:hAnsiTheme="majorHAnsi" w:cstheme="majorBidi"/>
          <w:sz w:val="22"/>
          <w:szCs w:val="22"/>
          <w:lang w:val="en-GB" w:eastAsia="nl-NL" w:bidi="nl-NL"/>
        </w:rPr>
        <w:t xml:space="preserve">, interviewing, participation in leadership meetings, town halls, celebrations, or termination of employment. In such cases, Brink’s could be found to be the </w:t>
      </w:r>
      <w:r w:rsidR="00C46744">
        <w:rPr>
          <w:rFonts w:asciiTheme="majorHAnsi" w:eastAsia="Calibri" w:hAnsiTheme="majorHAnsi" w:cstheme="majorBidi"/>
          <w:sz w:val="22"/>
          <w:szCs w:val="22"/>
          <w:lang w:val="en-GB" w:eastAsia="nl-NL" w:bidi="nl-NL"/>
        </w:rPr>
        <w:t xml:space="preserve">legal </w:t>
      </w:r>
      <w:r w:rsidRPr="0059487B">
        <w:rPr>
          <w:rFonts w:asciiTheme="majorHAnsi" w:eastAsia="Calibri" w:hAnsiTheme="majorHAnsi" w:cstheme="majorBidi"/>
          <w:sz w:val="22"/>
          <w:szCs w:val="22"/>
          <w:lang w:val="en-GB" w:eastAsia="nl-NL" w:bidi="nl-NL"/>
        </w:rPr>
        <w:t>"co-employer" of the contingent worker</w:t>
      </w:r>
      <w:r w:rsidR="00A141E4">
        <w:rPr>
          <w:rFonts w:asciiTheme="majorHAnsi" w:eastAsia="Calibri" w:hAnsiTheme="majorHAnsi" w:cstheme="majorBidi"/>
          <w:sz w:val="22"/>
          <w:szCs w:val="22"/>
          <w:lang w:val="en-GB" w:eastAsia="nl-NL" w:bidi="nl-NL"/>
        </w:rPr>
        <w:t xml:space="preserve"> </w:t>
      </w:r>
      <w:r w:rsidR="00A141E4" w:rsidRPr="00A141E4">
        <w:rPr>
          <w:rFonts w:asciiTheme="majorHAnsi" w:eastAsia="Calibri" w:hAnsiTheme="majorHAnsi" w:cstheme="majorBidi"/>
          <w:sz w:val="22"/>
          <w:szCs w:val="22"/>
          <w:lang w:val="en-GB" w:eastAsia="nl-NL" w:bidi="nl-NL"/>
        </w:rPr>
        <w:t>despite not directly employing the individua</w:t>
      </w:r>
      <w:r w:rsidR="008D74A9">
        <w:rPr>
          <w:rFonts w:asciiTheme="majorHAnsi" w:eastAsia="Calibri" w:hAnsiTheme="majorHAnsi" w:cstheme="majorBidi"/>
          <w:sz w:val="22"/>
          <w:szCs w:val="22"/>
          <w:lang w:val="en-GB" w:eastAsia="nl-NL" w:bidi="nl-NL"/>
        </w:rPr>
        <w:t>l</w:t>
      </w:r>
      <w:r w:rsidRPr="0059487B">
        <w:rPr>
          <w:rFonts w:asciiTheme="majorHAnsi" w:eastAsia="Calibri" w:hAnsiTheme="majorHAnsi" w:cstheme="majorBidi"/>
          <w:sz w:val="22"/>
          <w:szCs w:val="22"/>
          <w:lang w:val="en-GB" w:eastAsia="nl-NL" w:bidi="nl-NL"/>
        </w:rPr>
        <w:t>, which may expose the company to significant legal risks, including claims for employee benefits and employment rights.</w:t>
      </w:r>
    </w:p>
    <w:p w14:paraId="47983B7D" w14:textId="77777777" w:rsidR="0059487B" w:rsidRPr="0059487B" w:rsidRDefault="0059487B" w:rsidP="0059487B">
      <w:pPr>
        <w:ind w:firstLine="720"/>
        <w:jc w:val="both"/>
        <w:rPr>
          <w:rFonts w:asciiTheme="majorHAnsi" w:eastAsia="Calibri" w:hAnsiTheme="majorHAnsi" w:cstheme="majorBidi"/>
          <w:sz w:val="22"/>
          <w:szCs w:val="22"/>
          <w:lang w:val="en-GB" w:eastAsia="nl-NL" w:bidi="nl-NL"/>
        </w:rPr>
      </w:pPr>
    </w:p>
    <w:p w14:paraId="1D65389A" w14:textId="3FC91744" w:rsidR="0059487B" w:rsidRDefault="4E9968A4" w:rsidP="00703DC3">
      <w:pPr>
        <w:spacing w:line="259" w:lineRule="auto"/>
        <w:jc w:val="both"/>
        <w:rPr>
          <w:rFonts w:ascii="Calibri" w:eastAsia="Calibri" w:hAnsi="Calibri" w:cs="Calibri"/>
          <w:sz w:val="22"/>
          <w:szCs w:val="22"/>
          <w:lang w:val="en-GB"/>
        </w:rPr>
      </w:pPr>
      <w:r w:rsidRPr="4E9968A4">
        <w:rPr>
          <w:rFonts w:asciiTheme="majorHAnsi" w:eastAsia="Calibri" w:hAnsiTheme="majorHAnsi" w:cstheme="majorBidi"/>
          <w:sz w:val="22"/>
          <w:szCs w:val="22"/>
          <w:lang w:val="en-GB" w:eastAsia="nl-NL" w:bidi="nl-NL"/>
        </w:rPr>
        <w:t xml:space="preserve">It is crucial to avoid treating contingent workers as if they are </w:t>
      </w:r>
      <w:r w:rsidR="008D74A9">
        <w:rPr>
          <w:rFonts w:asciiTheme="majorHAnsi" w:eastAsia="Calibri" w:hAnsiTheme="majorHAnsi" w:cstheme="majorBidi"/>
          <w:sz w:val="22"/>
          <w:szCs w:val="22"/>
          <w:lang w:val="en-GB" w:eastAsia="nl-NL" w:bidi="nl-NL"/>
        </w:rPr>
        <w:t>permanent or temporary</w:t>
      </w:r>
      <w:r w:rsidR="008D74A9" w:rsidRPr="4E9968A4">
        <w:rPr>
          <w:rFonts w:asciiTheme="majorHAnsi" w:eastAsia="Calibri" w:hAnsiTheme="majorHAnsi" w:cstheme="majorBidi"/>
          <w:sz w:val="22"/>
          <w:szCs w:val="22"/>
          <w:lang w:val="en-GB" w:eastAsia="nl-NL" w:bidi="nl-NL"/>
        </w:rPr>
        <w:t xml:space="preserve"> </w:t>
      </w:r>
      <w:r w:rsidRPr="4E9968A4">
        <w:rPr>
          <w:rFonts w:asciiTheme="majorHAnsi" w:eastAsia="Calibri" w:hAnsiTheme="majorHAnsi" w:cstheme="majorBidi"/>
          <w:sz w:val="22"/>
          <w:szCs w:val="22"/>
          <w:lang w:val="en-GB" w:eastAsia="nl-NL" w:bidi="nl-NL"/>
        </w:rPr>
        <w:t>employees. Engaging them in activities such as team meetings, leadership events, or employee-focused programs can lead to legal claims of de facto employment, particularly in countries with strict labor regulations.</w:t>
      </w:r>
    </w:p>
    <w:p w14:paraId="76AE4830" w14:textId="77777777" w:rsidR="00F947C3" w:rsidRDefault="00F947C3" w:rsidP="00023788">
      <w:pPr>
        <w:jc w:val="both"/>
        <w:rPr>
          <w:rFonts w:asciiTheme="majorHAnsi" w:eastAsia="Calibri" w:hAnsiTheme="majorHAnsi" w:cstheme="majorBidi"/>
          <w:sz w:val="22"/>
          <w:szCs w:val="22"/>
          <w:lang w:val="en-GB" w:eastAsia="nl-NL" w:bidi="nl-NL"/>
        </w:rPr>
      </w:pPr>
    </w:p>
    <w:p w14:paraId="6BF39635" w14:textId="0CBECB94" w:rsidR="00F947C3" w:rsidRDefault="00F947C3" w:rsidP="0051357C">
      <w:pPr>
        <w:ind w:firstLine="360"/>
        <w:jc w:val="both"/>
        <w:rPr>
          <w:rFonts w:asciiTheme="majorHAnsi" w:eastAsia="Calibri" w:hAnsiTheme="majorHAnsi" w:cstheme="majorBidi"/>
          <w:sz w:val="22"/>
          <w:szCs w:val="22"/>
          <w:u w:val="single"/>
          <w:lang w:val="en-GB" w:eastAsia="nl-NL" w:bidi="nl-NL"/>
        </w:rPr>
      </w:pPr>
      <w:r w:rsidRPr="0051357C">
        <w:rPr>
          <w:rFonts w:asciiTheme="majorHAnsi" w:eastAsia="Calibri" w:hAnsiTheme="majorHAnsi" w:cstheme="majorBidi"/>
          <w:sz w:val="22"/>
          <w:szCs w:val="22"/>
          <w:u w:val="single"/>
          <w:lang w:val="en-GB" w:eastAsia="nl-NL" w:bidi="nl-NL"/>
        </w:rPr>
        <w:t>How to mitigate co-employment risk:</w:t>
      </w:r>
    </w:p>
    <w:p w14:paraId="4EF0A94F" w14:textId="77777777" w:rsidR="00786AC3" w:rsidRPr="0051357C" w:rsidRDefault="00786AC3" w:rsidP="0051357C">
      <w:pPr>
        <w:ind w:firstLine="360"/>
        <w:jc w:val="both"/>
        <w:rPr>
          <w:rFonts w:asciiTheme="majorHAnsi" w:eastAsia="Calibri" w:hAnsiTheme="majorHAnsi" w:cstheme="majorBidi"/>
          <w:sz w:val="22"/>
          <w:szCs w:val="22"/>
          <w:u w:val="single"/>
          <w:lang w:val="en-GB" w:eastAsia="nl-NL" w:bidi="nl-NL"/>
        </w:rPr>
      </w:pPr>
    </w:p>
    <w:p w14:paraId="1F8FF5CA" w14:textId="77777777" w:rsidR="007A1771" w:rsidRPr="0051357C" w:rsidRDefault="007A1771" w:rsidP="00D20217">
      <w:pPr>
        <w:pStyle w:val="ListParagraph"/>
        <w:numPr>
          <w:ilvl w:val="0"/>
          <w:numId w:val="5"/>
        </w:numPr>
        <w:jc w:val="both"/>
        <w:rPr>
          <w:rFonts w:asciiTheme="majorHAnsi" w:eastAsia="Calibri" w:hAnsiTheme="majorHAnsi" w:cstheme="majorBidi"/>
          <w:sz w:val="22"/>
          <w:szCs w:val="22"/>
          <w:lang w:val="en-GB" w:eastAsia="nl-NL" w:bidi="nl-NL"/>
        </w:rPr>
      </w:pPr>
      <w:r w:rsidRPr="0051357C">
        <w:rPr>
          <w:rFonts w:asciiTheme="majorHAnsi" w:eastAsia="Calibri" w:hAnsiTheme="majorHAnsi" w:cstheme="majorBidi"/>
          <w:sz w:val="22"/>
          <w:szCs w:val="22"/>
          <w:lang w:val="en-GB" w:eastAsia="nl-NL" w:bidi="nl-NL"/>
        </w:rPr>
        <w:t>No assignment should extend beyond 12 months.</w:t>
      </w:r>
    </w:p>
    <w:p w14:paraId="70D5155B" w14:textId="208E5DC0" w:rsidR="007A1771" w:rsidRPr="0051357C" w:rsidRDefault="007A1771" w:rsidP="00D20217">
      <w:pPr>
        <w:pStyle w:val="ListParagraph"/>
        <w:numPr>
          <w:ilvl w:val="0"/>
          <w:numId w:val="5"/>
        </w:numPr>
        <w:jc w:val="both"/>
        <w:rPr>
          <w:rFonts w:asciiTheme="majorHAnsi" w:eastAsia="Calibri" w:hAnsiTheme="majorHAnsi" w:cstheme="majorBidi"/>
          <w:sz w:val="22"/>
          <w:szCs w:val="22"/>
          <w:lang w:val="en-GB" w:eastAsia="nl-NL" w:bidi="nl-NL"/>
        </w:rPr>
      </w:pPr>
      <w:r w:rsidRPr="0051357C">
        <w:rPr>
          <w:rFonts w:asciiTheme="majorHAnsi" w:eastAsia="Calibri" w:hAnsiTheme="majorHAnsi" w:cstheme="majorBidi"/>
          <w:sz w:val="22"/>
          <w:szCs w:val="22"/>
          <w:lang w:val="en-GB" w:eastAsia="nl-NL" w:bidi="nl-NL"/>
        </w:rPr>
        <w:t>Temporary labor engaged through a temporary labor agency should be interviewed by the agency</w:t>
      </w:r>
      <w:r>
        <w:rPr>
          <w:rFonts w:asciiTheme="majorHAnsi" w:eastAsia="Calibri" w:hAnsiTheme="majorHAnsi" w:cstheme="majorBidi"/>
          <w:sz w:val="22"/>
          <w:szCs w:val="22"/>
          <w:lang w:val="en-GB" w:eastAsia="nl-NL" w:bidi="nl-NL"/>
        </w:rPr>
        <w:t>.</w:t>
      </w:r>
    </w:p>
    <w:p w14:paraId="39A12F22" w14:textId="77777777" w:rsidR="007A1771" w:rsidRPr="0051357C" w:rsidRDefault="007A1771" w:rsidP="00D20217">
      <w:pPr>
        <w:pStyle w:val="ListParagraph"/>
        <w:numPr>
          <w:ilvl w:val="0"/>
          <w:numId w:val="5"/>
        </w:numPr>
        <w:jc w:val="both"/>
        <w:rPr>
          <w:rFonts w:asciiTheme="majorHAnsi" w:eastAsia="Calibri" w:hAnsiTheme="majorHAnsi" w:cstheme="majorBidi"/>
          <w:sz w:val="22"/>
          <w:szCs w:val="22"/>
          <w:lang w:val="en-GB" w:eastAsia="nl-NL" w:bidi="nl-NL"/>
        </w:rPr>
      </w:pPr>
      <w:r w:rsidRPr="0051357C">
        <w:rPr>
          <w:rFonts w:asciiTheme="majorHAnsi" w:eastAsia="Calibri" w:hAnsiTheme="majorHAnsi" w:cstheme="majorBidi"/>
          <w:sz w:val="22"/>
          <w:szCs w:val="22"/>
          <w:lang w:val="en-GB" w:eastAsia="nl-NL" w:bidi="nl-NL"/>
        </w:rPr>
        <w:t>Agencies that provide temporary labor should manage all matters relating to pay, vacation, time off, sick leave, performance, and career development.</w:t>
      </w:r>
    </w:p>
    <w:p w14:paraId="7799F48E" w14:textId="65F574B0" w:rsidR="007A1771" w:rsidRPr="0051357C" w:rsidRDefault="007A1771" w:rsidP="00D20217">
      <w:pPr>
        <w:pStyle w:val="ListParagraph"/>
        <w:numPr>
          <w:ilvl w:val="0"/>
          <w:numId w:val="5"/>
        </w:numPr>
        <w:jc w:val="both"/>
        <w:rPr>
          <w:rFonts w:asciiTheme="majorHAnsi" w:eastAsia="Calibri" w:hAnsiTheme="majorHAnsi" w:cstheme="majorBidi"/>
          <w:sz w:val="22"/>
          <w:szCs w:val="22"/>
          <w:lang w:val="en-GB" w:eastAsia="nl-NL" w:bidi="nl-NL"/>
        </w:rPr>
      </w:pPr>
      <w:r w:rsidRPr="0051357C">
        <w:rPr>
          <w:rFonts w:asciiTheme="majorHAnsi" w:eastAsia="Calibri" w:hAnsiTheme="majorHAnsi" w:cstheme="majorBidi"/>
          <w:sz w:val="22"/>
          <w:szCs w:val="22"/>
          <w:lang w:val="en-GB" w:eastAsia="nl-NL" w:bidi="nl-NL"/>
        </w:rPr>
        <w:t xml:space="preserve">Independent contractors are responsible for all tax implications and withholdings resulting from their work with </w:t>
      </w:r>
      <w:r>
        <w:rPr>
          <w:rFonts w:asciiTheme="majorHAnsi" w:eastAsia="Calibri" w:hAnsiTheme="majorHAnsi" w:cstheme="majorBidi"/>
          <w:sz w:val="22"/>
          <w:szCs w:val="22"/>
          <w:lang w:val="en-GB" w:eastAsia="nl-NL" w:bidi="nl-NL"/>
        </w:rPr>
        <w:t>Brink’s.</w:t>
      </w:r>
    </w:p>
    <w:p w14:paraId="6847D72E" w14:textId="49418F33" w:rsidR="007A1771" w:rsidRDefault="007A1771" w:rsidP="00D20217">
      <w:pPr>
        <w:pStyle w:val="ListParagraph"/>
        <w:numPr>
          <w:ilvl w:val="0"/>
          <w:numId w:val="5"/>
        </w:numPr>
        <w:jc w:val="both"/>
        <w:rPr>
          <w:rFonts w:asciiTheme="majorHAnsi" w:eastAsia="Calibri" w:hAnsiTheme="majorHAnsi" w:cstheme="majorBidi"/>
          <w:sz w:val="22"/>
          <w:szCs w:val="22"/>
          <w:lang w:val="en-GB" w:eastAsia="nl-NL" w:bidi="nl-NL"/>
        </w:rPr>
      </w:pPr>
      <w:r w:rsidRPr="0051357C">
        <w:rPr>
          <w:rFonts w:asciiTheme="majorHAnsi" w:eastAsia="Calibri" w:hAnsiTheme="majorHAnsi" w:cstheme="majorBidi"/>
          <w:sz w:val="22"/>
          <w:szCs w:val="22"/>
          <w:lang w:val="en-GB" w:eastAsia="nl-NL" w:bidi="nl-NL"/>
        </w:rPr>
        <w:t xml:space="preserve">Contingent workers should be identified as such on their ID badge, </w:t>
      </w:r>
      <w:r w:rsidR="00603842">
        <w:rPr>
          <w:rFonts w:asciiTheme="majorHAnsi" w:eastAsia="Calibri" w:hAnsiTheme="majorHAnsi" w:cstheme="majorBidi"/>
          <w:sz w:val="22"/>
          <w:szCs w:val="22"/>
          <w:lang w:val="en-GB" w:eastAsia="nl-NL" w:bidi="nl-NL"/>
        </w:rPr>
        <w:t xml:space="preserve">email signatures, </w:t>
      </w:r>
      <w:r w:rsidRPr="0051357C">
        <w:rPr>
          <w:rFonts w:asciiTheme="majorHAnsi" w:eastAsia="Calibri" w:hAnsiTheme="majorHAnsi" w:cstheme="majorBidi"/>
          <w:sz w:val="22"/>
          <w:szCs w:val="22"/>
          <w:lang w:val="en-GB" w:eastAsia="nl-NL" w:bidi="nl-NL"/>
        </w:rPr>
        <w:t>phone lists, organization charts, in Microsoft Outlook, etc.</w:t>
      </w:r>
    </w:p>
    <w:p w14:paraId="198BA202" w14:textId="0A9E707C" w:rsidR="00836DB9" w:rsidRPr="0051357C" w:rsidRDefault="00836DB9" w:rsidP="00D20217">
      <w:pPr>
        <w:pStyle w:val="ListParagraph"/>
        <w:numPr>
          <w:ilvl w:val="0"/>
          <w:numId w:val="5"/>
        </w:numPr>
        <w:jc w:val="both"/>
        <w:rPr>
          <w:rFonts w:asciiTheme="majorHAnsi" w:eastAsia="Calibri" w:hAnsiTheme="majorHAnsi" w:cstheme="majorBidi"/>
          <w:sz w:val="22"/>
          <w:szCs w:val="22"/>
          <w:lang w:val="en-GB" w:eastAsia="nl-NL" w:bidi="nl-NL"/>
        </w:rPr>
      </w:pPr>
      <w:r>
        <w:rPr>
          <w:rFonts w:asciiTheme="majorHAnsi" w:eastAsia="Calibri" w:hAnsiTheme="majorHAnsi" w:cstheme="majorBidi"/>
          <w:sz w:val="22"/>
          <w:szCs w:val="22"/>
          <w:lang w:val="en-GB" w:eastAsia="nl-NL" w:bidi="nl-NL"/>
        </w:rPr>
        <w:t xml:space="preserve">Contingent workers should </w:t>
      </w:r>
      <w:r w:rsidR="00603842">
        <w:rPr>
          <w:rFonts w:asciiTheme="majorHAnsi" w:eastAsia="Calibri" w:hAnsiTheme="majorHAnsi" w:cstheme="majorBidi"/>
          <w:sz w:val="22"/>
          <w:szCs w:val="22"/>
          <w:lang w:val="en-GB" w:eastAsia="nl-NL" w:bidi="nl-NL"/>
        </w:rPr>
        <w:t>not be given an internal Brink’s title</w:t>
      </w:r>
    </w:p>
    <w:p w14:paraId="2716F99F" w14:textId="651E0B83" w:rsidR="007A1771" w:rsidRDefault="007A1771" w:rsidP="00D20217">
      <w:pPr>
        <w:pStyle w:val="ListParagraph"/>
        <w:numPr>
          <w:ilvl w:val="0"/>
          <w:numId w:val="5"/>
        </w:numPr>
        <w:jc w:val="both"/>
        <w:rPr>
          <w:rFonts w:asciiTheme="majorHAnsi" w:eastAsia="Calibri" w:hAnsiTheme="majorHAnsi" w:cstheme="majorBidi"/>
          <w:sz w:val="22"/>
          <w:szCs w:val="22"/>
          <w:lang w:val="en-GB" w:eastAsia="nl-NL" w:bidi="nl-NL"/>
        </w:rPr>
      </w:pPr>
      <w:r w:rsidRPr="0051357C">
        <w:rPr>
          <w:rFonts w:asciiTheme="majorHAnsi" w:eastAsia="Calibri" w:hAnsiTheme="majorHAnsi" w:cstheme="majorBidi"/>
          <w:sz w:val="22"/>
          <w:szCs w:val="22"/>
          <w:lang w:val="en-GB" w:eastAsia="nl-NL" w:bidi="nl-NL"/>
        </w:rPr>
        <w:t>Contingent workers should only be invited to company meetings on a “need</w:t>
      </w:r>
      <w:r w:rsidR="00C56DE6">
        <w:rPr>
          <w:rFonts w:asciiTheme="majorHAnsi" w:eastAsia="Calibri" w:hAnsiTheme="majorHAnsi" w:cstheme="majorBidi"/>
          <w:sz w:val="22"/>
          <w:szCs w:val="22"/>
          <w:lang w:val="en-GB" w:eastAsia="nl-NL" w:bidi="nl-NL"/>
        </w:rPr>
        <w:t>-</w:t>
      </w:r>
      <w:r w:rsidRPr="0051357C">
        <w:rPr>
          <w:rFonts w:asciiTheme="majorHAnsi" w:eastAsia="Calibri" w:hAnsiTheme="majorHAnsi" w:cstheme="majorBidi"/>
          <w:sz w:val="22"/>
          <w:szCs w:val="22"/>
          <w:lang w:val="en-GB" w:eastAsia="nl-NL" w:bidi="nl-NL"/>
        </w:rPr>
        <w:t>to</w:t>
      </w:r>
      <w:r w:rsidR="00C56DE6">
        <w:rPr>
          <w:rFonts w:asciiTheme="majorHAnsi" w:eastAsia="Calibri" w:hAnsiTheme="majorHAnsi" w:cstheme="majorBidi"/>
          <w:sz w:val="22"/>
          <w:szCs w:val="22"/>
          <w:lang w:val="en-GB" w:eastAsia="nl-NL" w:bidi="nl-NL"/>
        </w:rPr>
        <w:t>-</w:t>
      </w:r>
      <w:r w:rsidRPr="0051357C">
        <w:rPr>
          <w:rFonts w:asciiTheme="majorHAnsi" w:eastAsia="Calibri" w:hAnsiTheme="majorHAnsi" w:cstheme="majorBidi"/>
          <w:sz w:val="22"/>
          <w:szCs w:val="22"/>
          <w:lang w:val="en-GB" w:eastAsia="nl-NL" w:bidi="nl-NL"/>
        </w:rPr>
        <w:t>know” basis.</w:t>
      </w:r>
    </w:p>
    <w:p w14:paraId="245716F8" w14:textId="41DC5DC8" w:rsidR="007A1771" w:rsidRPr="0051357C" w:rsidRDefault="6B3824FD" w:rsidP="6B3824FD">
      <w:pPr>
        <w:pStyle w:val="ListParagraph"/>
        <w:numPr>
          <w:ilvl w:val="0"/>
          <w:numId w:val="5"/>
        </w:numPr>
        <w:jc w:val="both"/>
        <w:rPr>
          <w:rFonts w:asciiTheme="majorHAnsi" w:eastAsia="Calibri" w:hAnsiTheme="majorHAnsi" w:cstheme="majorBidi"/>
          <w:sz w:val="22"/>
          <w:szCs w:val="22"/>
          <w:lang w:val="en-GB" w:eastAsia="nl-NL" w:bidi="nl-NL"/>
        </w:rPr>
      </w:pPr>
      <w:r w:rsidRPr="6B3824FD">
        <w:rPr>
          <w:rFonts w:asciiTheme="majorHAnsi" w:hAnsiTheme="majorHAnsi" w:cstheme="majorBidi"/>
          <w:sz w:val="22"/>
          <w:szCs w:val="22"/>
          <w:lang w:val="en-GB"/>
        </w:rPr>
        <w:t xml:space="preserve">Contingent </w:t>
      </w:r>
      <w:r w:rsidRPr="6B3824FD">
        <w:rPr>
          <w:rFonts w:asciiTheme="majorHAnsi" w:hAnsiTheme="majorHAnsi" w:cstheme="majorBidi"/>
          <w:sz w:val="22"/>
          <w:szCs w:val="22"/>
        </w:rPr>
        <w:t>workers should not attend company events, trainings, or external events.</w:t>
      </w:r>
    </w:p>
    <w:p w14:paraId="7B6E47E8" w14:textId="77777777" w:rsidR="0059487B" w:rsidRDefault="0059487B" w:rsidP="007A1771">
      <w:pPr>
        <w:jc w:val="both"/>
        <w:rPr>
          <w:rFonts w:asciiTheme="majorHAnsi" w:eastAsia="Calibri" w:hAnsiTheme="majorHAnsi" w:cstheme="majorBidi"/>
          <w:sz w:val="22"/>
          <w:szCs w:val="22"/>
          <w:lang w:eastAsia="nl-NL" w:bidi="nl-NL"/>
        </w:rPr>
      </w:pPr>
    </w:p>
    <w:p w14:paraId="1FCAF5E0" w14:textId="60B15879" w:rsidR="00786AC3" w:rsidRPr="0051357C" w:rsidRDefault="00786AC3" w:rsidP="007A1771">
      <w:pPr>
        <w:jc w:val="both"/>
        <w:rPr>
          <w:rFonts w:asciiTheme="majorHAnsi" w:eastAsia="Calibri" w:hAnsiTheme="majorHAnsi" w:cstheme="majorBidi"/>
          <w:sz w:val="22"/>
          <w:szCs w:val="22"/>
          <w:lang w:eastAsia="nl-NL" w:bidi="nl-NL"/>
        </w:rPr>
      </w:pPr>
      <w:r>
        <w:rPr>
          <w:rFonts w:asciiTheme="majorHAnsi" w:eastAsia="Calibri" w:hAnsiTheme="majorHAnsi" w:cstheme="majorBidi"/>
          <w:sz w:val="22"/>
          <w:szCs w:val="22"/>
          <w:lang w:eastAsia="nl-NL" w:bidi="nl-NL"/>
        </w:rPr>
        <w:t xml:space="preserve">Any exception to the above should be </w:t>
      </w:r>
      <w:r w:rsidR="008D0EEE">
        <w:rPr>
          <w:rFonts w:asciiTheme="majorHAnsi" w:eastAsia="Calibri" w:hAnsiTheme="majorHAnsi" w:cstheme="majorBidi"/>
          <w:sz w:val="22"/>
          <w:szCs w:val="22"/>
          <w:lang w:eastAsia="nl-NL" w:bidi="nl-NL"/>
        </w:rPr>
        <w:t>approved by Legal.</w:t>
      </w:r>
    </w:p>
    <w:p w14:paraId="2213E55B" w14:textId="77777777" w:rsidR="00851A67" w:rsidRPr="0051357C" w:rsidRDefault="00851A67" w:rsidP="0051357C">
      <w:pPr>
        <w:pStyle w:val="Heading3"/>
        <w:numPr>
          <w:ilvl w:val="0"/>
          <w:numId w:val="0"/>
        </w:numPr>
        <w:jc w:val="both"/>
        <w:rPr>
          <w:rFonts w:eastAsia="Calibri"/>
          <w:i/>
          <w:iCs/>
          <w:color w:val="auto"/>
          <w:sz w:val="22"/>
          <w:szCs w:val="22"/>
          <w:lang w:eastAsia="nl-NL" w:bidi="nl-NL"/>
        </w:rPr>
      </w:pPr>
      <w:bookmarkStart w:id="101" w:name="_Toc186790745"/>
      <w:bookmarkEnd w:id="100"/>
      <w:r w:rsidRPr="0051357C">
        <w:rPr>
          <w:rFonts w:eastAsia="Calibri"/>
          <w:i/>
          <w:iCs/>
          <w:color w:val="auto"/>
          <w:sz w:val="22"/>
          <w:szCs w:val="22"/>
          <w:lang w:eastAsia="nl-NL" w:bidi="nl-NL"/>
        </w:rPr>
        <w:t>On-Boarding Instructions</w:t>
      </w:r>
      <w:bookmarkEnd w:id="101"/>
    </w:p>
    <w:p w14:paraId="2D36F5A0" w14:textId="4CF8A3CD" w:rsidR="00851A67" w:rsidRPr="0051357C" w:rsidRDefault="6B3824FD" w:rsidP="6B3824FD">
      <w:pPr>
        <w:jc w:val="both"/>
        <w:rPr>
          <w:rFonts w:asciiTheme="majorHAnsi" w:eastAsia="Calibri" w:hAnsiTheme="majorHAnsi" w:cstheme="majorBidi"/>
          <w:sz w:val="22"/>
          <w:szCs w:val="22"/>
          <w:lang w:eastAsia="nl-NL" w:bidi="nl-NL"/>
        </w:rPr>
      </w:pPr>
      <w:r w:rsidRPr="6B3824FD">
        <w:rPr>
          <w:rFonts w:asciiTheme="majorHAnsi" w:eastAsia="Calibri" w:hAnsiTheme="majorHAnsi" w:cstheme="majorBidi"/>
          <w:sz w:val="22"/>
          <w:szCs w:val="22"/>
          <w:lang w:eastAsia="nl-NL" w:bidi="nl-NL"/>
        </w:rPr>
        <w:t xml:space="preserve">Background screening to be performed before on-boarding the </w:t>
      </w:r>
      <w:r w:rsidR="00A47B63">
        <w:rPr>
          <w:rFonts w:asciiTheme="majorHAnsi" w:eastAsia="Calibri" w:hAnsiTheme="majorHAnsi" w:cstheme="majorBidi"/>
          <w:sz w:val="22"/>
          <w:szCs w:val="22"/>
          <w:lang w:eastAsia="nl-NL" w:bidi="nl-NL"/>
        </w:rPr>
        <w:t>Contingent Worker</w:t>
      </w:r>
      <w:r w:rsidR="00A47B63" w:rsidRPr="6B3824FD">
        <w:rPr>
          <w:rFonts w:asciiTheme="majorHAnsi" w:eastAsia="Calibri" w:hAnsiTheme="majorHAnsi" w:cstheme="majorBidi"/>
          <w:sz w:val="22"/>
          <w:szCs w:val="22"/>
          <w:lang w:eastAsia="nl-NL" w:bidi="nl-NL"/>
        </w:rPr>
        <w:t xml:space="preserve"> </w:t>
      </w:r>
      <w:r w:rsidR="00A47B63">
        <w:rPr>
          <w:rFonts w:asciiTheme="majorHAnsi" w:eastAsia="Calibri" w:hAnsiTheme="majorHAnsi" w:cstheme="majorBidi"/>
          <w:sz w:val="22"/>
          <w:szCs w:val="22"/>
          <w:lang w:eastAsia="nl-NL" w:bidi="nl-NL"/>
        </w:rPr>
        <w:t xml:space="preserve">will be done </w:t>
      </w:r>
      <w:r w:rsidRPr="6B3824FD">
        <w:rPr>
          <w:rFonts w:asciiTheme="majorHAnsi" w:eastAsia="Calibri" w:hAnsiTheme="majorHAnsi" w:cstheme="majorBidi"/>
          <w:sz w:val="22"/>
          <w:szCs w:val="22"/>
          <w:lang w:eastAsia="nl-NL" w:bidi="nl-NL"/>
        </w:rPr>
        <w:t>according to local legislation</w:t>
      </w:r>
      <w:r w:rsidR="00A47B63">
        <w:rPr>
          <w:rFonts w:asciiTheme="majorHAnsi" w:eastAsia="Calibri" w:hAnsiTheme="majorHAnsi" w:cstheme="majorBidi"/>
          <w:sz w:val="22"/>
          <w:szCs w:val="22"/>
          <w:lang w:eastAsia="nl-NL" w:bidi="nl-NL"/>
        </w:rPr>
        <w:t xml:space="preserve"> and applicable company policy</w:t>
      </w:r>
      <w:r w:rsidRPr="6B3824FD">
        <w:rPr>
          <w:rFonts w:asciiTheme="majorHAnsi" w:eastAsia="Calibri" w:hAnsiTheme="majorHAnsi" w:cstheme="majorBidi"/>
          <w:sz w:val="22"/>
          <w:szCs w:val="22"/>
          <w:lang w:eastAsia="nl-NL" w:bidi="nl-NL"/>
        </w:rPr>
        <w:t>.</w:t>
      </w:r>
      <w:r w:rsidR="00A47B63">
        <w:rPr>
          <w:rFonts w:asciiTheme="majorHAnsi" w:eastAsia="Calibri" w:hAnsiTheme="majorHAnsi" w:cstheme="majorBidi"/>
          <w:sz w:val="22"/>
          <w:szCs w:val="22"/>
          <w:lang w:eastAsia="nl-NL" w:bidi="nl-NL"/>
        </w:rPr>
        <w:t xml:space="preserve"> Contingent</w:t>
      </w:r>
      <w:r w:rsidRPr="6B3824FD">
        <w:rPr>
          <w:rFonts w:asciiTheme="majorHAnsi" w:eastAsia="Calibri" w:hAnsiTheme="majorHAnsi" w:cstheme="majorBidi"/>
          <w:sz w:val="22"/>
          <w:szCs w:val="22"/>
          <w:lang w:eastAsia="nl-NL" w:bidi="nl-NL"/>
        </w:rPr>
        <w:t xml:space="preserve"> Workers will be provided with all necessary equipment (i.e. laptops).</w:t>
      </w:r>
    </w:p>
    <w:p w14:paraId="3079D8DD" w14:textId="77777777" w:rsidR="00851A67" w:rsidRPr="0051357C" w:rsidRDefault="00851A67" w:rsidP="0051357C">
      <w:pPr>
        <w:pStyle w:val="Heading3"/>
        <w:numPr>
          <w:ilvl w:val="0"/>
          <w:numId w:val="0"/>
        </w:numPr>
        <w:jc w:val="both"/>
        <w:rPr>
          <w:rFonts w:eastAsia="Calibri"/>
          <w:i/>
          <w:iCs/>
          <w:color w:val="auto"/>
          <w:sz w:val="22"/>
          <w:szCs w:val="22"/>
          <w:lang w:eastAsia="nl-NL" w:bidi="nl-NL"/>
        </w:rPr>
      </w:pPr>
      <w:bookmarkStart w:id="102" w:name="_Toc186790746"/>
      <w:r w:rsidRPr="0051357C">
        <w:rPr>
          <w:rFonts w:eastAsia="Calibri"/>
          <w:i/>
          <w:iCs/>
          <w:color w:val="auto"/>
          <w:sz w:val="22"/>
          <w:szCs w:val="22"/>
          <w:lang w:eastAsia="nl-NL" w:bidi="nl-NL"/>
        </w:rPr>
        <w:t>Notice period</w:t>
      </w:r>
      <w:bookmarkEnd w:id="102"/>
      <w:r w:rsidRPr="0051357C">
        <w:rPr>
          <w:rFonts w:eastAsia="Calibri"/>
          <w:i/>
          <w:iCs/>
          <w:color w:val="auto"/>
          <w:sz w:val="22"/>
          <w:szCs w:val="22"/>
          <w:lang w:eastAsia="nl-NL" w:bidi="nl-NL"/>
        </w:rPr>
        <w:t xml:space="preserve"> </w:t>
      </w:r>
    </w:p>
    <w:p w14:paraId="754DA01E" w14:textId="2A3BBC1A" w:rsidR="00851A67" w:rsidRPr="0051357C" w:rsidRDefault="6B3824FD" w:rsidP="6B3824FD">
      <w:pPr>
        <w:jc w:val="both"/>
        <w:rPr>
          <w:rFonts w:asciiTheme="majorHAnsi" w:eastAsia="Calibri" w:hAnsiTheme="majorHAnsi" w:cstheme="majorBidi"/>
          <w:sz w:val="22"/>
          <w:szCs w:val="22"/>
          <w:lang w:eastAsia="nl-NL" w:bidi="nl-NL"/>
        </w:rPr>
      </w:pPr>
      <w:r w:rsidRPr="6B3824FD">
        <w:rPr>
          <w:rFonts w:asciiTheme="majorHAnsi" w:eastAsia="Calibri" w:hAnsiTheme="majorHAnsi" w:cstheme="majorBidi"/>
          <w:sz w:val="22"/>
          <w:szCs w:val="22"/>
          <w:lang w:eastAsia="nl-NL" w:bidi="nl-NL"/>
        </w:rPr>
        <w:t>For the off-boarding procedure, the</w:t>
      </w:r>
      <w:r w:rsidR="006F655F">
        <w:rPr>
          <w:rFonts w:asciiTheme="majorHAnsi" w:eastAsia="Calibri" w:hAnsiTheme="majorHAnsi" w:cstheme="majorBidi"/>
          <w:sz w:val="22"/>
          <w:szCs w:val="22"/>
          <w:lang w:eastAsia="nl-NL" w:bidi="nl-NL"/>
        </w:rPr>
        <w:t xml:space="preserve"> Contingent W</w:t>
      </w:r>
      <w:r w:rsidRPr="6B3824FD">
        <w:rPr>
          <w:rFonts w:asciiTheme="majorHAnsi" w:eastAsia="Calibri" w:hAnsiTheme="majorHAnsi" w:cstheme="majorBidi"/>
          <w:sz w:val="22"/>
          <w:szCs w:val="22"/>
          <w:lang w:eastAsia="nl-NL" w:bidi="nl-NL"/>
        </w:rPr>
        <w:t xml:space="preserve">orker is subject to minimum legal duration of each countries’ legislation. </w:t>
      </w:r>
    </w:p>
    <w:p w14:paraId="3E04A6F8" w14:textId="77777777" w:rsidR="00851A67" w:rsidRPr="0051357C" w:rsidRDefault="00851A67" w:rsidP="0051357C">
      <w:pPr>
        <w:pStyle w:val="Heading3"/>
        <w:numPr>
          <w:ilvl w:val="0"/>
          <w:numId w:val="0"/>
        </w:numPr>
        <w:jc w:val="both"/>
        <w:rPr>
          <w:rFonts w:eastAsia="Calibri"/>
          <w:i/>
          <w:iCs/>
          <w:color w:val="auto"/>
          <w:sz w:val="22"/>
          <w:szCs w:val="22"/>
          <w:lang w:eastAsia="nl-NL" w:bidi="nl-NL"/>
        </w:rPr>
      </w:pPr>
      <w:bookmarkStart w:id="103" w:name="_Toc186790747"/>
      <w:r w:rsidRPr="0051357C">
        <w:rPr>
          <w:rFonts w:eastAsia="Calibri"/>
          <w:i/>
          <w:iCs/>
          <w:color w:val="auto"/>
          <w:sz w:val="22"/>
          <w:szCs w:val="22"/>
          <w:lang w:eastAsia="nl-NL" w:bidi="nl-NL"/>
        </w:rPr>
        <w:t>Temporary to permanent transfers (temp2perm)</w:t>
      </w:r>
      <w:bookmarkEnd w:id="103"/>
    </w:p>
    <w:p w14:paraId="623318CE" w14:textId="3CFE2F11" w:rsidR="00851A67" w:rsidRPr="0051357C" w:rsidRDefault="00E61498" w:rsidP="00851A67">
      <w:pPr>
        <w:jc w:val="both"/>
        <w:rPr>
          <w:rFonts w:asciiTheme="majorHAnsi" w:eastAsia="Calibri" w:hAnsiTheme="majorHAnsi" w:cstheme="majorBidi"/>
          <w:sz w:val="22"/>
          <w:szCs w:val="22"/>
          <w:lang w:eastAsia="nl-NL" w:bidi="nl-NL"/>
        </w:rPr>
      </w:pPr>
      <w:r>
        <w:rPr>
          <w:rFonts w:asciiTheme="majorHAnsi" w:eastAsia="Calibri" w:hAnsiTheme="majorHAnsi" w:cstheme="majorBidi"/>
          <w:sz w:val="22"/>
          <w:szCs w:val="22"/>
          <w:lang w:eastAsia="nl-NL" w:bidi="nl-NL"/>
        </w:rPr>
        <w:t>Except for</w:t>
      </w:r>
      <w:r w:rsidR="00A917F3">
        <w:rPr>
          <w:rFonts w:asciiTheme="majorHAnsi" w:eastAsia="Calibri" w:hAnsiTheme="majorHAnsi" w:cstheme="majorBidi"/>
          <w:sz w:val="22"/>
          <w:szCs w:val="22"/>
          <w:lang w:eastAsia="nl-NL" w:bidi="nl-NL"/>
        </w:rPr>
        <w:t xml:space="preserve"> self-employed </w:t>
      </w:r>
      <w:r w:rsidR="00651103">
        <w:rPr>
          <w:rFonts w:asciiTheme="majorHAnsi" w:eastAsia="Calibri" w:hAnsiTheme="majorHAnsi" w:cstheme="majorBidi"/>
          <w:sz w:val="22"/>
          <w:szCs w:val="22"/>
          <w:lang w:eastAsia="nl-NL" w:bidi="nl-NL"/>
        </w:rPr>
        <w:t>C</w:t>
      </w:r>
      <w:r w:rsidR="00276EF9">
        <w:rPr>
          <w:rFonts w:asciiTheme="majorHAnsi" w:eastAsia="Calibri" w:hAnsiTheme="majorHAnsi" w:cstheme="majorBidi"/>
          <w:sz w:val="22"/>
          <w:szCs w:val="22"/>
          <w:lang w:eastAsia="nl-NL" w:bidi="nl-NL"/>
        </w:rPr>
        <w:t>ontingent</w:t>
      </w:r>
      <w:r w:rsidR="00A917F3">
        <w:rPr>
          <w:rFonts w:asciiTheme="majorHAnsi" w:eastAsia="Calibri" w:hAnsiTheme="majorHAnsi" w:cstheme="majorBidi"/>
          <w:sz w:val="22"/>
          <w:szCs w:val="22"/>
          <w:lang w:eastAsia="nl-NL" w:bidi="nl-NL"/>
        </w:rPr>
        <w:t xml:space="preserve"> </w:t>
      </w:r>
      <w:r w:rsidR="00651103">
        <w:rPr>
          <w:rFonts w:asciiTheme="majorHAnsi" w:eastAsia="Calibri" w:hAnsiTheme="majorHAnsi" w:cstheme="majorBidi"/>
          <w:sz w:val="22"/>
          <w:szCs w:val="22"/>
          <w:lang w:eastAsia="nl-NL" w:bidi="nl-NL"/>
        </w:rPr>
        <w:t>W</w:t>
      </w:r>
      <w:r w:rsidR="00A917F3">
        <w:rPr>
          <w:rFonts w:asciiTheme="majorHAnsi" w:eastAsia="Calibri" w:hAnsiTheme="majorHAnsi" w:cstheme="majorBidi"/>
          <w:sz w:val="22"/>
          <w:szCs w:val="22"/>
          <w:lang w:eastAsia="nl-NL" w:bidi="nl-NL"/>
        </w:rPr>
        <w:t>orkers</w:t>
      </w:r>
      <w:r w:rsidR="00276EF9">
        <w:rPr>
          <w:rFonts w:asciiTheme="majorHAnsi" w:eastAsia="Calibri" w:hAnsiTheme="majorHAnsi" w:cstheme="majorBidi"/>
          <w:sz w:val="22"/>
          <w:szCs w:val="22"/>
          <w:lang w:eastAsia="nl-NL" w:bidi="nl-NL"/>
        </w:rPr>
        <w:t xml:space="preserve"> such as freelancers</w:t>
      </w:r>
      <w:r w:rsidR="00A917F3">
        <w:rPr>
          <w:rFonts w:asciiTheme="majorHAnsi" w:eastAsia="Calibri" w:hAnsiTheme="majorHAnsi" w:cstheme="majorBidi"/>
          <w:sz w:val="22"/>
          <w:szCs w:val="22"/>
          <w:lang w:eastAsia="nl-NL" w:bidi="nl-NL"/>
        </w:rPr>
        <w:t>,</w:t>
      </w:r>
      <w:r w:rsidR="00851A67" w:rsidRPr="0051357C">
        <w:rPr>
          <w:rFonts w:asciiTheme="majorHAnsi" w:eastAsia="Calibri" w:hAnsiTheme="majorHAnsi" w:cstheme="majorBidi"/>
          <w:sz w:val="22"/>
          <w:szCs w:val="22"/>
          <w:lang w:eastAsia="nl-NL" w:bidi="nl-NL"/>
        </w:rPr>
        <w:t xml:space="preserve"> </w:t>
      </w:r>
      <w:r w:rsidR="00276EF9">
        <w:rPr>
          <w:rFonts w:asciiTheme="majorHAnsi" w:eastAsia="Calibri" w:hAnsiTheme="majorHAnsi" w:cstheme="majorBidi"/>
          <w:sz w:val="22"/>
          <w:szCs w:val="22"/>
          <w:lang w:eastAsia="nl-NL" w:bidi="nl-NL"/>
        </w:rPr>
        <w:t xml:space="preserve">all contingent worker assignments </w:t>
      </w:r>
      <w:r w:rsidR="00851A67" w:rsidRPr="0051357C">
        <w:rPr>
          <w:rFonts w:asciiTheme="majorHAnsi" w:eastAsia="Calibri" w:hAnsiTheme="majorHAnsi" w:cstheme="majorBidi"/>
          <w:sz w:val="22"/>
          <w:szCs w:val="22"/>
          <w:lang w:eastAsia="nl-NL" w:bidi="nl-NL"/>
        </w:rPr>
        <w:t xml:space="preserve">need to have a temporary to permanent clause, where </w:t>
      </w:r>
      <w:r w:rsidR="00F7542D" w:rsidRPr="3766A6B7">
        <w:rPr>
          <w:rFonts w:asciiTheme="majorHAnsi" w:eastAsia="Calibri" w:hAnsiTheme="majorHAnsi" w:cstheme="majorBidi"/>
          <w:sz w:val="22"/>
          <w:szCs w:val="22"/>
          <w:lang w:eastAsia="nl-NL" w:bidi="nl-NL"/>
        </w:rPr>
        <w:t>Brink’s</w:t>
      </w:r>
      <w:r w:rsidR="00851A67" w:rsidRPr="0051357C">
        <w:rPr>
          <w:rFonts w:asciiTheme="majorHAnsi" w:eastAsia="Calibri" w:hAnsiTheme="majorHAnsi" w:cstheme="majorBidi"/>
          <w:sz w:val="22"/>
          <w:szCs w:val="22"/>
          <w:lang w:eastAsia="nl-NL" w:bidi="nl-NL"/>
        </w:rPr>
        <w:t xml:space="preserve"> has a possibility to offer workers a permanent position after a specific </w:t>
      </w:r>
      <w:r w:rsidR="00EB7241">
        <w:rPr>
          <w:rFonts w:asciiTheme="majorHAnsi" w:eastAsia="Calibri" w:hAnsiTheme="majorHAnsi" w:cstheme="majorBidi"/>
          <w:sz w:val="22"/>
          <w:szCs w:val="22"/>
          <w:lang w:eastAsia="nl-NL" w:bidi="nl-NL"/>
        </w:rPr>
        <w:t>amount of time</w:t>
      </w:r>
      <w:r w:rsidR="00851A67">
        <w:rPr>
          <w:rFonts w:asciiTheme="majorHAnsi" w:eastAsia="Calibri" w:hAnsiTheme="majorHAnsi" w:cstheme="majorBidi"/>
          <w:sz w:val="22"/>
          <w:szCs w:val="22"/>
          <w:lang w:eastAsia="nl-NL" w:bidi="nl-NL"/>
        </w:rPr>
        <w:t xml:space="preserve">. </w:t>
      </w:r>
    </w:p>
    <w:p w14:paraId="6ADCCF0A" w14:textId="4C865D92" w:rsidR="0036756B" w:rsidRPr="00593902" w:rsidRDefault="00E0577E" w:rsidP="00820532">
      <w:pPr>
        <w:pStyle w:val="Heading1"/>
        <w:rPr>
          <w:rFonts w:cstheme="majorHAnsi"/>
          <w:color w:val="auto"/>
        </w:rPr>
      </w:pPr>
      <w:bookmarkStart w:id="104" w:name="_Toc186790748"/>
      <w:r w:rsidRPr="00593902">
        <w:rPr>
          <w:rFonts w:cstheme="majorHAnsi"/>
          <w:color w:val="auto"/>
        </w:rPr>
        <w:t>R</w:t>
      </w:r>
      <w:r w:rsidR="00593902">
        <w:rPr>
          <w:rFonts w:cstheme="majorHAnsi"/>
          <w:color w:val="auto"/>
        </w:rPr>
        <w:t>OLES AND RESPONSIBILITIES</w:t>
      </w:r>
      <w:bookmarkEnd w:id="104"/>
    </w:p>
    <w:p w14:paraId="76F5FC2F" w14:textId="77777777" w:rsidR="006C341A" w:rsidRPr="0074239A" w:rsidRDefault="006C341A" w:rsidP="006C341A">
      <w:pPr>
        <w:rPr>
          <w:rFonts w:asciiTheme="majorHAnsi" w:hAnsiTheme="majorHAnsi" w:cstheme="majorHAnsi"/>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6480"/>
      </w:tblGrid>
      <w:tr w:rsidR="00277653" w:rsidRPr="0074239A" w14:paraId="420F7786" w14:textId="77777777" w:rsidTr="6B3824FD">
        <w:trPr>
          <w:trHeight w:val="290"/>
        </w:trPr>
        <w:tc>
          <w:tcPr>
            <w:tcW w:w="4050" w:type="dxa"/>
            <w:shd w:val="clear" w:color="auto" w:fill="BCD3EE"/>
            <w:vAlign w:val="center"/>
            <w:hideMark/>
          </w:tcPr>
          <w:p w14:paraId="1A4CF6DB" w14:textId="77777777" w:rsidR="006C341A" w:rsidRPr="0074239A" w:rsidRDefault="6B3824FD" w:rsidP="6B3824FD">
            <w:pPr>
              <w:jc w:val="center"/>
              <w:rPr>
                <w:rFonts w:asciiTheme="majorHAnsi" w:hAnsiTheme="majorHAnsi" w:cstheme="majorBidi"/>
                <w:b/>
                <w:bCs/>
                <w:color w:val="000000"/>
                <w:sz w:val="22"/>
                <w:szCs w:val="22"/>
              </w:rPr>
            </w:pPr>
            <w:r w:rsidRPr="6B3824FD">
              <w:rPr>
                <w:rFonts w:asciiTheme="majorHAnsi" w:hAnsiTheme="majorHAnsi" w:cstheme="majorBidi"/>
                <w:b/>
                <w:bCs/>
                <w:color w:val="000000" w:themeColor="text1"/>
                <w:sz w:val="22"/>
                <w:szCs w:val="22"/>
              </w:rPr>
              <w:t>Responsible</w:t>
            </w:r>
          </w:p>
        </w:tc>
        <w:tc>
          <w:tcPr>
            <w:tcW w:w="6480" w:type="dxa"/>
            <w:shd w:val="clear" w:color="auto" w:fill="BCD3EE"/>
            <w:vAlign w:val="center"/>
            <w:hideMark/>
          </w:tcPr>
          <w:p w14:paraId="15A6FB9D" w14:textId="77777777" w:rsidR="006C341A" w:rsidRPr="0074239A" w:rsidRDefault="006C341A" w:rsidP="00E74EF7">
            <w:pPr>
              <w:jc w:val="center"/>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Pr>
              <w:t>Details</w:t>
            </w:r>
          </w:p>
        </w:tc>
      </w:tr>
      <w:tr w:rsidR="00066940" w:rsidRPr="0074239A" w14:paraId="2EA03914" w14:textId="77777777" w:rsidTr="6B3824FD">
        <w:trPr>
          <w:trHeight w:val="629"/>
        </w:trPr>
        <w:tc>
          <w:tcPr>
            <w:tcW w:w="4050" w:type="dxa"/>
            <w:shd w:val="clear" w:color="auto" w:fill="auto"/>
            <w:vAlign w:val="center"/>
            <w:hideMark/>
          </w:tcPr>
          <w:p w14:paraId="66692013" w14:textId="14CC9538" w:rsidR="006C341A" w:rsidRPr="0074239A" w:rsidRDefault="00190B85" w:rsidP="00E74EF7">
            <w:pPr>
              <w:rPr>
                <w:rFonts w:asciiTheme="majorHAnsi" w:hAnsiTheme="majorHAnsi" w:cstheme="majorHAnsi"/>
                <w:b/>
                <w:bCs/>
                <w:color w:val="000000"/>
                <w:sz w:val="22"/>
                <w:szCs w:val="22"/>
              </w:rPr>
            </w:pPr>
            <w:r>
              <w:rPr>
                <w:rFonts w:asciiTheme="majorHAnsi" w:hAnsiTheme="majorHAnsi" w:cstheme="majorHAnsi"/>
                <w:b/>
                <w:bCs/>
                <w:color w:val="000000"/>
                <w:sz w:val="22"/>
                <w:szCs w:val="22"/>
              </w:rPr>
              <w:t>Business Unit Manager or Hiring Manager</w:t>
            </w:r>
          </w:p>
        </w:tc>
        <w:tc>
          <w:tcPr>
            <w:tcW w:w="6480" w:type="dxa"/>
            <w:shd w:val="clear" w:color="auto" w:fill="auto"/>
            <w:vAlign w:val="center"/>
            <w:hideMark/>
          </w:tcPr>
          <w:p w14:paraId="6A007548" w14:textId="1EDCB281" w:rsidR="006C341A" w:rsidRPr="0074239A" w:rsidRDefault="6B3824FD" w:rsidP="6B3824FD">
            <w:pPr>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Pr>
              <w:t>Management, selection, and hiring processes related to contingent employees</w:t>
            </w:r>
          </w:p>
        </w:tc>
      </w:tr>
      <w:tr w:rsidR="00066940" w:rsidRPr="0074239A" w14:paraId="424622EC" w14:textId="77777777" w:rsidTr="6B3824FD">
        <w:trPr>
          <w:trHeight w:val="440"/>
        </w:trPr>
        <w:tc>
          <w:tcPr>
            <w:tcW w:w="4050" w:type="dxa"/>
            <w:shd w:val="clear" w:color="auto" w:fill="auto"/>
            <w:vAlign w:val="center"/>
            <w:hideMark/>
          </w:tcPr>
          <w:p w14:paraId="53BA79A6" w14:textId="77777777" w:rsidR="006C341A" w:rsidRPr="0074239A" w:rsidRDefault="006C341A" w:rsidP="00E74EF7">
            <w:pPr>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Pr>
              <w:t>Strategic Sourcing</w:t>
            </w:r>
          </w:p>
        </w:tc>
        <w:tc>
          <w:tcPr>
            <w:tcW w:w="6480" w:type="dxa"/>
            <w:shd w:val="clear" w:color="auto" w:fill="auto"/>
            <w:vAlign w:val="center"/>
            <w:hideMark/>
          </w:tcPr>
          <w:p w14:paraId="33D9B6CA" w14:textId="13B8AF0C" w:rsidR="006C341A" w:rsidRPr="0074239A" w:rsidRDefault="6B3824FD" w:rsidP="6B3824FD">
            <w:pPr>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Pr>
              <w:t>Sourcing, negotiation, and interaction with the concerned suppliers</w:t>
            </w:r>
          </w:p>
        </w:tc>
      </w:tr>
      <w:tr w:rsidR="00066940" w:rsidRPr="0074239A" w14:paraId="1DB9FE8B" w14:textId="77777777" w:rsidTr="6B3824FD">
        <w:trPr>
          <w:trHeight w:val="530"/>
        </w:trPr>
        <w:tc>
          <w:tcPr>
            <w:tcW w:w="4050" w:type="dxa"/>
            <w:shd w:val="clear" w:color="auto" w:fill="auto"/>
            <w:vAlign w:val="center"/>
            <w:hideMark/>
          </w:tcPr>
          <w:p w14:paraId="17B692C6" w14:textId="77777777" w:rsidR="006C341A" w:rsidRPr="0074239A" w:rsidRDefault="006C341A" w:rsidP="00E74EF7">
            <w:pPr>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Pr>
              <w:t>HR and Strategic Sourcing Teams</w:t>
            </w:r>
          </w:p>
        </w:tc>
        <w:tc>
          <w:tcPr>
            <w:tcW w:w="6480" w:type="dxa"/>
            <w:shd w:val="clear" w:color="auto" w:fill="auto"/>
            <w:vAlign w:val="center"/>
            <w:hideMark/>
          </w:tcPr>
          <w:p w14:paraId="52298401" w14:textId="2F200AF8" w:rsidR="006C341A" w:rsidRPr="0074239A" w:rsidRDefault="6B3824FD" w:rsidP="6B3824FD">
            <w:pPr>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Pr>
              <w:t>Policy maintenance and governance</w:t>
            </w:r>
          </w:p>
        </w:tc>
      </w:tr>
      <w:tr w:rsidR="00066940" w:rsidRPr="0074239A" w14:paraId="2F96DC99" w14:textId="77777777" w:rsidTr="6B3824FD">
        <w:trPr>
          <w:trHeight w:val="440"/>
        </w:trPr>
        <w:tc>
          <w:tcPr>
            <w:tcW w:w="4050" w:type="dxa"/>
            <w:shd w:val="clear" w:color="auto" w:fill="auto"/>
            <w:vAlign w:val="center"/>
            <w:hideMark/>
          </w:tcPr>
          <w:p w14:paraId="0366EEB8" w14:textId="31A91327" w:rsidR="006C341A" w:rsidRPr="0074239A" w:rsidRDefault="6B3824FD" w:rsidP="6B3824FD">
            <w:pPr>
              <w:rPr>
                <w:rFonts w:asciiTheme="majorHAnsi" w:hAnsiTheme="majorHAnsi" w:cstheme="majorBidi"/>
                <w:b/>
                <w:bCs/>
                <w:color w:val="000000"/>
                <w:sz w:val="22"/>
                <w:szCs w:val="22"/>
              </w:rPr>
            </w:pPr>
            <w:r w:rsidRPr="6B3824FD">
              <w:rPr>
                <w:rFonts w:asciiTheme="majorHAnsi" w:hAnsiTheme="majorHAnsi" w:cstheme="majorBidi"/>
                <w:b/>
                <w:bCs/>
                <w:color w:val="000000" w:themeColor="text1"/>
                <w:sz w:val="22"/>
                <w:szCs w:val="22"/>
              </w:rPr>
              <w:t>Global HR Leadership Team</w:t>
            </w:r>
            <w:r w:rsidR="00AF09DE">
              <w:rPr>
                <w:rFonts w:asciiTheme="majorHAnsi" w:hAnsiTheme="majorHAnsi" w:cstheme="majorBidi"/>
                <w:b/>
                <w:bCs/>
                <w:color w:val="000000" w:themeColor="text1"/>
                <w:sz w:val="22"/>
                <w:szCs w:val="22"/>
              </w:rPr>
              <w:t xml:space="preserve"> &amp; Legal</w:t>
            </w:r>
          </w:p>
        </w:tc>
        <w:tc>
          <w:tcPr>
            <w:tcW w:w="6480" w:type="dxa"/>
            <w:shd w:val="clear" w:color="auto" w:fill="auto"/>
            <w:vAlign w:val="center"/>
            <w:hideMark/>
          </w:tcPr>
          <w:p w14:paraId="1EE0C29E" w14:textId="7E6082E7" w:rsidR="006C341A" w:rsidRPr="0074239A" w:rsidRDefault="6B3824FD" w:rsidP="6B3824FD">
            <w:pPr>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Pr>
              <w:t>Endorsement of the global policy; approvals for policy deviations</w:t>
            </w:r>
          </w:p>
        </w:tc>
      </w:tr>
    </w:tbl>
    <w:p w14:paraId="76F97431" w14:textId="77777777" w:rsidR="006C341A" w:rsidRPr="0074239A" w:rsidRDefault="006C341A" w:rsidP="006C341A">
      <w:pPr>
        <w:jc w:val="both"/>
        <w:rPr>
          <w:rFonts w:asciiTheme="majorHAnsi" w:hAnsiTheme="majorHAnsi" w:cstheme="majorHAnsi"/>
          <w:lang w:eastAsia="nl-NL" w:bidi="nl-NL"/>
        </w:rPr>
      </w:pPr>
    </w:p>
    <w:p w14:paraId="6DBEB811" w14:textId="03361EBC" w:rsidR="006C341A" w:rsidRPr="0051357C" w:rsidRDefault="00553BC8" w:rsidP="006C341A">
      <w:pPr>
        <w:jc w:val="both"/>
        <w:rPr>
          <w:rFonts w:asciiTheme="majorHAnsi" w:hAnsiTheme="majorHAnsi" w:cstheme="majorBidi"/>
          <w:sz w:val="22"/>
          <w:szCs w:val="22"/>
          <w:lang w:eastAsia="nl-NL" w:bidi="nl-NL"/>
        </w:rPr>
      </w:pPr>
      <w:r>
        <w:rPr>
          <w:rFonts w:asciiTheme="majorHAnsi" w:hAnsiTheme="majorHAnsi" w:cstheme="majorBidi"/>
          <w:sz w:val="22"/>
          <w:szCs w:val="22"/>
          <w:lang w:eastAsia="nl-NL" w:bidi="nl-NL"/>
        </w:rPr>
        <w:t xml:space="preserve">Policy </w:t>
      </w:r>
      <w:r w:rsidR="006C341A" w:rsidRPr="00341F30">
        <w:rPr>
          <w:rFonts w:asciiTheme="majorHAnsi" w:hAnsiTheme="majorHAnsi" w:cstheme="majorBidi"/>
          <w:sz w:val="22"/>
          <w:szCs w:val="22"/>
          <w:lang w:eastAsia="nl-NL" w:bidi="nl-NL"/>
        </w:rPr>
        <w:t>escalations</w:t>
      </w:r>
      <w:r w:rsidR="006C341A" w:rsidRPr="3766A6B7">
        <w:rPr>
          <w:rFonts w:asciiTheme="majorHAnsi" w:hAnsiTheme="majorHAnsi" w:cstheme="majorBidi"/>
          <w:sz w:val="22"/>
          <w:szCs w:val="22"/>
          <w:lang w:eastAsia="nl-NL" w:bidi="nl-NL"/>
        </w:rPr>
        <w:t xml:space="preserve"> need to be directed </w:t>
      </w:r>
      <w:r w:rsidR="006C341A" w:rsidRPr="007A1771">
        <w:rPr>
          <w:rFonts w:asciiTheme="majorHAnsi" w:hAnsiTheme="majorHAnsi" w:cstheme="majorBidi"/>
          <w:sz w:val="22"/>
          <w:szCs w:val="22"/>
          <w:lang w:eastAsia="nl-NL" w:bidi="nl-NL"/>
        </w:rPr>
        <w:t xml:space="preserve">to: </w:t>
      </w:r>
      <w:r w:rsidR="00D7480F" w:rsidRPr="0051357C">
        <w:rPr>
          <w:rFonts w:asciiTheme="majorHAnsi" w:hAnsiTheme="majorHAnsi" w:cstheme="majorBidi"/>
          <w:sz w:val="22"/>
          <w:szCs w:val="22"/>
          <w:lang w:eastAsia="nl-NL" w:bidi="nl-NL"/>
        </w:rPr>
        <w:t>Angela Gambaro</w:t>
      </w:r>
      <w:r w:rsidR="74D02BAE" w:rsidRPr="0051357C">
        <w:rPr>
          <w:rFonts w:asciiTheme="majorHAnsi" w:hAnsiTheme="majorHAnsi" w:cstheme="majorBidi"/>
          <w:sz w:val="22"/>
          <w:szCs w:val="22"/>
          <w:lang w:eastAsia="nl-NL" w:bidi="nl-NL"/>
        </w:rPr>
        <w:t>, Vice President Global Talent Acquisition.</w:t>
      </w:r>
    </w:p>
    <w:p w14:paraId="18E3F5FF" w14:textId="77777777" w:rsidR="00355B9F" w:rsidRPr="0074239A" w:rsidRDefault="00355B9F" w:rsidP="006C341A">
      <w:pPr>
        <w:jc w:val="both"/>
        <w:rPr>
          <w:rFonts w:asciiTheme="majorHAnsi" w:hAnsiTheme="majorHAnsi" w:cstheme="majorHAnsi"/>
          <w:sz w:val="22"/>
          <w:szCs w:val="22"/>
          <w:lang w:eastAsia="nl-NL" w:bidi="nl-NL"/>
        </w:rPr>
      </w:pPr>
    </w:p>
    <w:p w14:paraId="6F58F62B" w14:textId="77777777" w:rsidR="00355B9F" w:rsidRPr="0074239A" w:rsidRDefault="00355B9F" w:rsidP="00355B9F">
      <w:pPr>
        <w:spacing w:after="240"/>
        <w:rPr>
          <w:rFonts w:asciiTheme="majorHAnsi" w:hAnsiTheme="majorHAnsi" w:cstheme="majorHAnsi"/>
          <w:sz w:val="22"/>
          <w:szCs w:val="22"/>
        </w:rPr>
      </w:pPr>
      <w:r w:rsidRPr="0074239A">
        <w:rPr>
          <w:rFonts w:asciiTheme="majorHAnsi" w:hAnsiTheme="majorHAnsi" w:cstheme="majorHAnsi"/>
          <w:sz w:val="22"/>
          <w:szCs w:val="22"/>
        </w:rPr>
        <w:t xml:space="preserve">The Global Strategic Sourcing team members are listed below: </w:t>
      </w:r>
    </w:p>
    <w:tbl>
      <w:tblPr>
        <w:tblStyle w:val="TableGrid"/>
        <w:tblW w:w="10315" w:type="dxa"/>
        <w:tblLook w:val="04A0" w:firstRow="1" w:lastRow="0" w:firstColumn="1" w:lastColumn="0" w:noHBand="0" w:noVBand="1"/>
      </w:tblPr>
      <w:tblGrid>
        <w:gridCol w:w="1885"/>
        <w:gridCol w:w="3090"/>
        <w:gridCol w:w="5340"/>
      </w:tblGrid>
      <w:tr w:rsidR="00723B0B" w:rsidRPr="0074239A" w14:paraId="0B531E58" w14:textId="77777777" w:rsidTr="3F806670">
        <w:trPr>
          <w:trHeight w:val="353"/>
        </w:trPr>
        <w:tc>
          <w:tcPr>
            <w:tcW w:w="1885" w:type="dxa"/>
            <w:shd w:val="clear" w:color="auto" w:fill="BCD3EE"/>
          </w:tcPr>
          <w:p w14:paraId="042647DB" w14:textId="1FB5EF0B" w:rsidR="00723B0B" w:rsidRPr="00593902" w:rsidRDefault="00723B0B" w:rsidP="00E74EF7">
            <w:pPr>
              <w:jc w:val="center"/>
              <w:rPr>
                <w:rFonts w:asciiTheme="majorHAnsi" w:hAnsiTheme="majorHAnsi" w:cstheme="majorHAnsi"/>
                <w:b/>
              </w:rPr>
            </w:pPr>
            <w:r w:rsidRPr="00593902">
              <w:rPr>
                <w:rFonts w:asciiTheme="majorHAnsi" w:hAnsiTheme="majorHAnsi" w:cstheme="majorHAnsi"/>
                <w:b/>
              </w:rPr>
              <w:t>Country</w:t>
            </w:r>
          </w:p>
        </w:tc>
        <w:tc>
          <w:tcPr>
            <w:tcW w:w="3090" w:type="dxa"/>
            <w:shd w:val="clear" w:color="auto" w:fill="BCD3EE"/>
            <w:vAlign w:val="center"/>
          </w:tcPr>
          <w:p w14:paraId="42E8CCC0" w14:textId="1DF96862" w:rsidR="00723B0B" w:rsidRPr="00593902" w:rsidRDefault="00723B0B" w:rsidP="00E74EF7">
            <w:pPr>
              <w:jc w:val="center"/>
              <w:rPr>
                <w:rFonts w:asciiTheme="majorHAnsi" w:hAnsiTheme="majorHAnsi" w:cstheme="majorHAnsi"/>
                <w:b/>
              </w:rPr>
            </w:pPr>
            <w:r w:rsidRPr="00593902">
              <w:rPr>
                <w:rFonts w:asciiTheme="majorHAnsi" w:hAnsiTheme="majorHAnsi" w:cstheme="majorHAnsi"/>
                <w:b/>
              </w:rPr>
              <w:t>Name</w:t>
            </w:r>
          </w:p>
        </w:tc>
        <w:tc>
          <w:tcPr>
            <w:tcW w:w="5340" w:type="dxa"/>
            <w:shd w:val="clear" w:color="auto" w:fill="BCD3EE"/>
            <w:vAlign w:val="center"/>
          </w:tcPr>
          <w:p w14:paraId="443A4AC4" w14:textId="77777777" w:rsidR="00723B0B" w:rsidRPr="00593902" w:rsidRDefault="00723B0B" w:rsidP="00E74EF7">
            <w:pPr>
              <w:jc w:val="center"/>
              <w:rPr>
                <w:rFonts w:asciiTheme="majorHAnsi" w:hAnsiTheme="majorHAnsi" w:cstheme="majorHAnsi"/>
                <w:b/>
              </w:rPr>
            </w:pPr>
            <w:r w:rsidRPr="00593902">
              <w:rPr>
                <w:rFonts w:asciiTheme="majorHAnsi" w:hAnsiTheme="majorHAnsi" w:cstheme="majorHAnsi"/>
                <w:b/>
              </w:rPr>
              <w:t>Email</w:t>
            </w:r>
          </w:p>
        </w:tc>
      </w:tr>
      <w:tr w:rsidR="00723B0B" w:rsidRPr="0074239A" w14:paraId="6193D3EA" w14:textId="77777777" w:rsidTr="3F806670">
        <w:trPr>
          <w:trHeight w:val="353"/>
        </w:trPr>
        <w:tc>
          <w:tcPr>
            <w:tcW w:w="1885" w:type="dxa"/>
          </w:tcPr>
          <w:p w14:paraId="1C9593B9" w14:textId="1E4ED097" w:rsidR="00723B0B" w:rsidRDefault="00723B0B" w:rsidP="00484EE0">
            <w:pPr>
              <w:jc w:val="center"/>
              <w:rPr>
                <w:rFonts w:asciiTheme="majorHAnsi" w:hAnsiTheme="majorHAnsi" w:cstheme="majorHAnsi"/>
              </w:rPr>
            </w:pPr>
            <w:r>
              <w:rPr>
                <w:rFonts w:asciiTheme="majorHAnsi" w:hAnsiTheme="majorHAnsi" w:cstheme="majorHAnsi"/>
              </w:rPr>
              <w:t>US</w:t>
            </w:r>
          </w:p>
        </w:tc>
        <w:tc>
          <w:tcPr>
            <w:tcW w:w="3090" w:type="dxa"/>
            <w:vAlign w:val="center"/>
          </w:tcPr>
          <w:p w14:paraId="0EBFC0FB" w14:textId="208800DB" w:rsidR="00723B0B" w:rsidRPr="0074239A" w:rsidRDefault="00723B0B" w:rsidP="00484EE0">
            <w:pPr>
              <w:jc w:val="center"/>
              <w:rPr>
                <w:rFonts w:asciiTheme="majorHAnsi" w:hAnsiTheme="majorHAnsi" w:cstheme="majorHAnsi"/>
              </w:rPr>
            </w:pPr>
            <w:r>
              <w:rPr>
                <w:rFonts w:asciiTheme="majorHAnsi" w:hAnsiTheme="majorHAnsi" w:cstheme="majorHAnsi"/>
              </w:rPr>
              <w:t>Hugh Mouden</w:t>
            </w:r>
          </w:p>
        </w:tc>
        <w:tc>
          <w:tcPr>
            <w:tcW w:w="5340" w:type="dxa"/>
            <w:vAlign w:val="center"/>
          </w:tcPr>
          <w:p w14:paraId="5B1C23BC" w14:textId="64C0FC41" w:rsidR="00723B0B" w:rsidRPr="0074239A" w:rsidRDefault="00F03037" w:rsidP="00484EE0">
            <w:pPr>
              <w:jc w:val="center"/>
              <w:rPr>
                <w:rFonts w:asciiTheme="majorHAnsi" w:hAnsiTheme="majorHAnsi" w:cstheme="majorHAnsi"/>
              </w:rPr>
            </w:pPr>
            <w:r w:rsidRPr="00F03037">
              <w:rPr>
                <w:rFonts w:asciiTheme="majorHAnsi" w:hAnsiTheme="majorHAnsi" w:cstheme="majorHAnsi"/>
              </w:rPr>
              <w:t>hugh.mouden@brinksinc.com</w:t>
            </w:r>
          </w:p>
        </w:tc>
      </w:tr>
      <w:tr w:rsidR="00723B0B" w:rsidRPr="0074239A" w14:paraId="17ED6D52" w14:textId="77777777" w:rsidTr="3F806670">
        <w:trPr>
          <w:trHeight w:val="353"/>
        </w:trPr>
        <w:tc>
          <w:tcPr>
            <w:tcW w:w="1885" w:type="dxa"/>
          </w:tcPr>
          <w:p w14:paraId="2FB16E5F" w14:textId="30AB6701" w:rsidR="00723B0B" w:rsidRPr="0074239A" w:rsidRDefault="00723B0B" w:rsidP="0051357C">
            <w:pPr>
              <w:jc w:val="center"/>
              <w:rPr>
                <w:rFonts w:asciiTheme="majorHAnsi" w:hAnsiTheme="majorHAnsi" w:cstheme="majorHAnsi"/>
              </w:rPr>
            </w:pPr>
            <w:r>
              <w:rPr>
                <w:rFonts w:asciiTheme="majorHAnsi" w:hAnsiTheme="majorHAnsi" w:cstheme="majorHAnsi"/>
              </w:rPr>
              <w:t>France</w:t>
            </w:r>
          </w:p>
        </w:tc>
        <w:tc>
          <w:tcPr>
            <w:tcW w:w="3090" w:type="dxa"/>
            <w:vAlign w:val="center"/>
          </w:tcPr>
          <w:p w14:paraId="7F359211" w14:textId="4CCB5FA8" w:rsidR="00723B0B" w:rsidRPr="0074239A" w:rsidRDefault="00723B0B" w:rsidP="0051357C">
            <w:pPr>
              <w:jc w:val="center"/>
              <w:rPr>
                <w:rFonts w:asciiTheme="majorHAnsi" w:hAnsiTheme="majorHAnsi" w:cstheme="majorHAnsi"/>
              </w:rPr>
            </w:pPr>
            <w:r>
              <w:rPr>
                <w:rFonts w:asciiTheme="majorHAnsi" w:hAnsiTheme="majorHAnsi" w:cstheme="majorHAnsi"/>
              </w:rPr>
              <w:t xml:space="preserve">Petronela </w:t>
            </w:r>
            <w:proofErr w:type="spellStart"/>
            <w:r>
              <w:rPr>
                <w:rFonts w:asciiTheme="majorHAnsi" w:hAnsiTheme="majorHAnsi" w:cstheme="majorHAnsi"/>
              </w:rPr>
              <w:t>Skorkova</w:t>
            </w:r>
            <w:proofErr w:type="spellEnd"/>
          </w:p>
        </w:tc>
        <w:tc>
          <w:tcPr>
            <w:tcW w:w="5340" w:type="dxa"/>
            <w:vAlign w:val="center"/>
          </w:tcPr>
          <w:p w14:paraId="1C4B8301" w14:textId="294A6116" w:rsidR="00723B0B" w:rsidRPr="0074239A" w:rsidRDefault="00723B0B" w:rsidP="00484EE0">
            <w:pPr>
              <w:jc w:val="center"/>
              <w:rPr>
                <w:rFonts w:asciiTheme="majorHAnsi" w:hAnsiTheme="majorHAnsi" w:cstheme="majorHAnsi"/>
              </w:rPr>
            </w:pPr>
            <w:r w:rsidRPr="00723B0B">
              <w:rPr>
                <w:rFonts w:asciiTheme="majorHAnsi" w:hAnsiTheme="majorHAnsi" w:cstheme="majorHAnsi"/>
              </w:rPr>
              <w:t>p.skorkova@brinks.fr</w:t>
            </w:r>
          </w:p>
        </w:tc>
      </w:tr>
      <w:tr w:rsidR="00723B0B" w:rsidRPr="0074239A" w14:paraId="286C64E2" w14:textId="77777777" w:rsidTr="3F806670">
        <w:trPr>
          <w:trHeight w:val="353"/>
        </w:trPr>
        <w:tc>
          <w:tcPr>
            <w:tcW w:w="1885" w:type="dxa"/>
          </w:tcPr>
          <w:p w14:paraId="0E93F776" w14:textId="3432AA4D" w:rsidR="00723B0B" w:rsidRPr="0074239A" w:rsidRDefault="00723B0B" w:rsidP="0051357C">
            <w:pPr>
              <w:jc w:val="center"/>
              <w:rPr>
                <w:rFonts w:asciiTheme="majorHAnsi" w:hAnsiTheme="majorHAnsi" w:cstheme="majorHAnsi"/>
              </w:rPr>
            </w:pPr>
            <w:r>
              <w:rPr>
                <w:rFonts w:asciiTheme="majorHAnsi" w:hAnsiTheme="majorHAnsi" w:cstheme="majorHAnsi"/>
              </w:rPr>
              <w:t>Netherlands</w:t>
            </w:r>
          </w:p>
        </w:tc>
        <w:tc>
          <w:tcPr>
            <w:tcW w:w="3090" w:type="dxa"/>
            <w:vAlign w:val="center"/>
          </w:tcPr>
          <w:p w14:paraId="0A879FDC" w14:textId="343E4B2B" w:rsidR="00723B0B" w:rsidRPr="0074239A" w:rsidRDefault="00F03037" w:rsidP="0051357C">
            <w:pPr>
              <w:jc w:val="center"/>
              <w:rPr>
                <w:rFonts w:asciiTheme="majorHAnsi" w:hAnsiTheme="majorHAnsi" w:cstheme="majorHAnsi"/>
              </w:rPr>
            </w:pPr>
            <w:r>
              <w:rPr>
                <w:rFonts w:asciiTheme="majorHAnsi" w:hAnsiTheme="majorHAnsi" w:cstheme="majorHAnsi"/>
              </w:rPr>
              <w:t>Mohamed Barry</w:t>
            </w:r>
          </w:p>
        </w:tc>
        <w:tc>
          <w:tcPr>
            <w:tcW w:w="5340" w:type="dxa"/>
            <w:vAlign w:val="center"/>
          </w:tcPr>
          <w:p w14:paraId="482AAE45" w14:textId="4213879D" w:rsidR="00723B0B" w:rsidRPr="0074239A" w:rsidRDefault="00484EE0" w:rsidP="00484EE0">
            <w:pPr>
              <w:jc w:val="center"/>
              <w:rPr>
                <w:rFonts w:asciiTheme="majorHAnsi" w:hAnsiTheme="majorHAnsi" w:cstheme="majorHAnsi"/>
              </w:rPr>
            </w:pPr>
            <w:r w:rsidRPr="00484EE0">
              <w:rPr>
                <w:rFonts w:asciiTheme="majorHAnsi" w:hAnsiTheme="majorHAnsi" w:cstheme="majorHAnsi"/>
              </w:rPr>
              <w:t>mohamed.barry@brinks.com</w:t>
            </w:r>
          </w:p>
        </w:tc>
      </w:tr>
      <w:tr w:rsidR="00484EE0" w:rsidRPr="0074239A" w14:paraId="113556F5" w14:textId="77777777" w:rsidTr="3F806670">
        <w:trPr>
          <w:trHeight w:val="353"/>
        </w:trPr>
        <w:tc>
          <w:tcPr>
            <w:tcW w:w="1885" w:type="dxa"/>
          </w:tcPr>
          <w:p w14:paraId="36E178DF" w14:textId="08564D46" w:rsidR="00484EE0" w:rsidRDefault="00F67881" w:rsidP="00484EE0">
            <w:pPr>
              <w:jc w:val="center"/>
              <w:rPr>
                <w:rFonts w:asciiTheme="majorHAnsi" w:hAnsiTheme="majorHAnsi" w:cstheme="majorHAnsi"/>
              </w:rPr>
            </w:pPr>
            <w:r>
              <w:rPr>
                <w:rFonts w:asciiTheme="majorHAnsi" w:hAnsiTheme="majorHAnsi" w:cstheme="majorHAnsi"/>
              </w:rPr>
              <w:t>Romania</w:t>
            </w:r>
          </w:p>
        </w:tc>
        <w:tc>
          <w:tcPr>
            <w:tcW w:w="3090" w:type="dxa"/>
            <w:vAlign w:val="center"/>
          </w:tcPr>
          <w:p w14:paraId="02E6CFE4" w14:textId="598B20CD" w:rsidR="00484EE0" w:rsidRDefault="00F67881" w:rsidP="00484EE0">
            <w:pPr>
              <w:jc w:val="center"/>
              <w:rPr>
                <w:rFonts w:asciiTheme="majorHAnsi" w:hAnsiTheme="majorHAnsi" w:cstheme="majorHAnsi"/>
              </w:rPr>
            </w:pPr>
            <w:r>
              <w:rPr>
                <w:rFonts w:asciiTheme="majorHAnsi" w:hAnsiTheme="majorHAnsi" w:cstheme="majorHAnsi"/>
              </w:rPr>
              <w:t>Raluca</w:t>
            </w:r>
            <w:r w:rsidR="008B6C09">
              <w:rPr>
                <w:rFonts w:asciiTheme="majorHAnsi" w:hAnsiTheme="majorHAnsi" w:cstheme="majorHAnsi"/>
              </w:rPr>
              <w:t xml:space="preserve"> Miron</w:t>
            </w:r>
          </w:p>
        </w:tc>
        <w:tc>
          <w:tcPr>
            <w:tcW w:w="5340" w:type="dxa"/>
            <w:vAlign w:val="center"/>
          </w:tcPr>
          <w:p w14:paraId="6BC21F3D" w14:textId="59A9B045" w:rsidR="00484EE0" w:rsidRPr="00484EE0" w:rsidRDefault="001F5235" w:rsidP="00484EE0">
            <w:pPr>
              <w:jc w:val="center"/>
              <w:rPr>
                <w:rFonts w:asciiTheme="majorHAnsi" w:hAnsiTheme="majorHAnsi" w:cstheme="majorHAnsi"/>
              </w:rPr>
            </w:pPr>
            <w:r w:rsidRPr="001F5235">
              <w:rPr>
                <w:rFonts w:asciiTheme="majorHAnsi" w:hAnsiTheme="majorHAnsi" w:cstheme="majorHAnsi"/>
              </w:rPr>
              <w:t>raluca.miron@brinks.com</w:t>
            </w:r>
          </w:p>
        </w:tc>
      </w:tr>
      <w:tr w:rsidR="008B6C09" w:rsidRPr="005F53F9" w14:paraId="22E85B7F" w14:textId="77777777" w:rsidTr="3F806670">
        <w:trPr>
          <w:trHeight w:val="353"/>
        </w:trPr>
        <w:tc>
          <w:tcPr>
            <w:tcW w:w="1885" w:type="dxa"/>
          </w:tcPr>
          <w:p w14:paraId="63324D16" w14:textId="1CA23EBD" w:rsidR="008B6C09" w:rsidRDefault="008B6C09" w:rsidP="005F53F9">
            <w:pPr>
              <w:jc w:val="center"/>
              <w:rPr>
                <w:rFonts w:asciiTheme="majorHAnsi" w:hAnsiTheme="majorHAnsi" w:cstheme="majorHAnsi"/>
              </w:rPr>
            </w:pPr>
            <w:r>
              <w:rPr>
                <w:rFonts w:asciiTheme="majorHAnsi" w:hAnsiTheme="majorHAnsi" w:cstheme="majorHAnsi"/>
              </w:rPr>
              <w:t>Czech Republic</w:t>
            </w:r>
          </w:p>
        </w:tc>
        <w:tc>
          <w:tcPr>
            <w:tcW w:w="3090" w:type="dxa"/>
            <w:vAlign w:val="center"/>
          </w:tcPr>
          <w:p w14:paraId="1BC42F05" w14:textId="14736D2F" w:rsidR="008B6C09" w:rsidRDefault="005F53F9" w:rsidP="00484EE0">
            <w:pPr>
              <w:jc w:val="center"/>
              <w:rPr>
                <w:rFonts w:asciiTheme="majorHAnsi" w:hAnsiTheme="majorHAnsi" w:cstheme="majorHAnsi"/>
              </w:rPr>
            </w:pPr>
            <w:r>
              <w:rPr>
                <w:rFonts w:asciiTheme="majorHAnsi" w:hAnsiTheme="majorHAnsi" w:cstheme="majorHAnsi"/>
              </w:rPr>
              <w:t xml:space="preserve">Petr </w:t>
            </w:r>
            <w:proofErr w:type="spellStart"/>
            <w:r>
              <w:rPr>
                <w:rFonts w:asciiTheme="majorHAnsi" w:hAnsiTheme="majorHAnsi" w:cstheme="majorHAnsi"/>
              </w:rPr>
              <w:t>Zbozinek</w:t>
            </w:r>
            <w:proofErr w:type="spellEnd"/>
          </w:p>
        </w:tc>
        <w:tc>
          <w:tcPr>
            <w:tcW w:w="5340" w:type="dxa"/>
            <w:vAlign w:val="center"/>
          </w:tcPr>
          <w:p w14:paraId="504C871E" w14:textId="5E980B3D" w:rsidR="008B6C09" w:rsidRPr="00484EE0" w:rsidRDefault="00091223" w:rsidP="00484EE0">
            <w:pPr>
              <w:jc w:val="center"/>
              <w:rPr>
                <w:rFonts w:asciiTheme="majorHAnsi" w:hAnsiTheme="majorHAnsi" w:cstheme="majorHAnsi"/>
              </w:rPr>
            </w:pPr>
            <w:r w:rsidRPr="00091223">
              <w:rPr>
                <w:rFonts w:asciiTheme="majorHAnsi" w:hAnsiTheme="majorHAnsi" w:cstheme="majorHAnsi"/>
              </w:rPr>
              <w:t>petr.zbozinek@brinks.com</w:t>
            </w:r>
          </w:p>
        </w:tc>
      </w:tr>
      <w:tr w:rsidR="00F67881" w:rsidRPr="005F53F9" w14:paraId="04C01C4D" w14:textId="77777777" w:rsidTr="3F806670">
        <w:trPr>
          <w:trHeight w:val="353"/>
        </w:trPr>
        <w:tc>
          <w:tcPr>
            <w:tcW w:w="1885" w:type="dxa"/>
          </w:tcPr>
          <w:p w14:paraId="3F6453A2" w14:textId="5B856BE3" w:rsidR="00F67881" w:rsidRDefault="00F67881" w:rsidP="00484EE0">
            <w:pPr>
              <w:jc w:val="center"/>
              <w:rPr>
                <w:rFonts w:asciiTheme="majorHAnsi" w:hAnsiTheme="majorHAnsi" w:cstheme="majorHAnsi"/>
              </w:rPr>
            </w:pPr>
            <w:r>
              <w:rPr>
                <w:rFonts w:asciiTheme="majorHAnsi" w:hAnsiTheme="majorHAnsi" w:cstheme="majorHAnsi"/>
              </w:rPr>
              <w:t>Brazil</w:t>
            </w:r>
          </w:p>
        </w:tc>
        <w:tc>
          <w:tcPr>
            <w:tcW w:w="3090" w:type="dxa"/>
            <w:vAlign w:val="center"/>
          </w:tcPr>
          <w:p w14:paraId="06E94346" w14:textId="7F2F5865" w:rsidR="00F67881" w:rsidRDefault="005F53F9" w:rsidP="00484EE0">
            <w:pPr>
              <w:jc w:val="center"/>
              <w:rPr>
                <w:rFonts w:asciiTheme="majorHAnsi" w:hAnsiTheme="majorHAnsi" w:cstheme="majorHAnsi"/>
              </w:rPr>
            </w:pPr>
            <w:r>
              <w:rPr>
                <w:rFonts w:asciiTheme="majorHAnsi" w:hAnsiTheme="majorHAnsi" w:cstheme="majorHAnsi"/>
              </w:rPr>
              <w:t>Adriano Bronzatto</w:t>
            </w:r>
          </w:p>
        </w:tc>
        <w:tc>
          <w:tcPr>
            <w:tcW w:w="5340" w:type="dxa"/>
            <w:vAlign w:val="center"/>
          </w:tcPr>
          <w:p w14:paraId="3DC68A9A" w14:textId="56580080" w:rsidR="00F67881" w:rsidRPr="00484EE0" w:rsidRDefault="00AA4693" w:rsidP="00484EE0">
            <w:pPr>
              <w:jc w:val="center"/>
              <w:rPr>
                <w:rFonts w:asciiTheme="majorHAnsi" w:hAnsiTheme="majorHAnsi" w:cstheme="majorHAnsi"/>
              </w:rPr>
            </w:pPr>
            <w:r w:rsidRPr="00AA4693">
              <w:rPr>
                <w:rFonts w:asciiTheme="majorHAnsi" w:hAnsiTheme="majorHAnsi" w:cstheme="majorHAnsi"/>
              </w:rPr>
              <w:t>adriano.bronzatto@brinks.com.br</w:t>
            </w:r>
          </w:p>
        </w:tc>
      </w:tr>
      <w:tr w:rsidR="00F67881" w:rsidRPr="005F53F9" w14:paraId="42D3D8EA" w14:textId="77777777" w:rsidTr="3F806670">
        <w:trPr>
          <w:trHeight w:val="353"/>
        </w:trPr>
        <w:tc>
          <w:tcPr>
            <w:tcW w:w="1885" w:type="dxa"/>
          </w:tcPr>
          <w:p w14:paraId="7B7D7274" w14:textId="1072AFEA" w:rsidR="00F67881" w:rsidRDefault="00B7549B" w:rsidP="00484EE0">
            <w:pPr>
              <w:jc w:val="center"/>
              <w:rPr>
                <w:rFonts w:asciiTheme="majorHAnsi" w:hAnsiTheme="majorHAnsi" w:cstheme="majorHAnsi"/>
              </w:rPr>
            </w:pPr>
            <w:r>
              <w:rPr>
                <w:rFonts w:asciiTheme="majorHAnsi" w:hAnsiTheme="majorHAnsi" w:cstheme="majorHAnsi"/>
              </w:rPr>
              <w:t>Colombia</w:t>
            </w:r>
          </w:p>
        </w:tc>
        <w:tc>
          <w:tcPr>
            <w:tcW w:w="3090" w:type="dxa"/>
            <w:vAlign w:val="center"/>
          </w:tcPr>
          <w:p w14:paraId="169CC0BB" w14:textId="22F2411F" w:rsidR="00F67881" w:rsidRDefault="005F53F9" w:rsidP="00484EE0">
            <w:pPr>
              <w:jc w:val="center"/>
              <w:rPr>
                <w:rFonts w:asciiTheme="majorHAnsi" w:hAnsiTheme="majorHAnsi" w:cstheme="majorHAnsi"/>
              </w:rPr>
            </w:pPr>
            <w:r>
              <w:rPr>
                <w:rFonts w:asciiTheme="majorHAnsi" w:hAnsiTheme="majorHAnsi" w:cstheme="majorHAnsi"/>
              </w:rPr>
              <w:t>Erika Rodriguez</w:t>
            </w:r>
          </w:p>
        </w:tc>
        <w:tc>
          <w:tcPr>
            <w:tcW w:w="5340" w:type="dxa"/>
            <w:vAlign w:val="center"/>
          </w:tcPr>
          <w:p w14:paraId="169A91B0" w14:textId="60824281" w:rsidR="00F67881" w:rsidRPr="00484EE0" w:rsidRDefault="40C75461" w:rsidP="3F806670">
            <w:pPr>
              <w:jc w:val="center"/>
              <w:rPr>
                <w:rFonts w:asciiTheme="majorHAnsi" w:hAnsiTheme="majorHAnsi" w:cstheme="majorBidi"/>
              </w:rPr>
            </w:pPr>
            <w:r w:rsidRPr="3F806670">
              <w:rPr>
                <w:rFonts w:asciiTheme="majorHAnsi" w:hAnsiTheme="majorHAnsi" w:cstheme="majorBidi"/>
              </w:rPr>
              <w:t>erika.rodriguez@brinks.com.co</w:t>
            </w:r>
            <w:r w:rsidR="64599C25" w:rsidRPr="3F806670">
              <w:rPr>
                <w:rFonts w:asciiTheme="majorHAnsi" w:hAnsiTheme="majorHAnsi" w:cstheme="majorBidi"/>
              </w:rPr>
              <w:t>m</w:t>
            </w:r>
          </w:p>
        </w:tc>
      </w:tr>
      <w:tr w:rsidR="002B0A60" w:rsidRPr="005F53F9" w14:paraId="7B5E2649" w14:textId="77777777" w:rsidTr="3F806670">
        <w:trPr>
          <w:trHeight w:val="197"/>
        </w:trPr>
        <w:tc>
          <w:tcPr>
            <w:tcW w:w="1885" w:type="dxa"/>
          </w:tcPr>
          <w:p w14:paraId="76BEDE5C" w14:textId="303EABB9" w:rsidR="002B0A60" w:rsidRDefault="002B0A60" w:rsidP="00CF447D">
            <w:pPr>
              <w:jc w:val="center"/>
              <w:rPr>
                <w:rFonts w:asciiTheme="majorHAnsi" w:hAnsiTheme="majorHAnsi" w:cstheme="majorHAnsi"/>
              </w:rPr>
            </w:pPr>
            <w:r>
              <w:rPr>
                <w:rFonts w:asciiTheme="majorHAnsi" w:hAnsiTheme="majorHAnsi" w:cstheme="majorHAnsi"/>
              </w:rPr>
              <w:t>Chile</w:t>
            </w:r>
          </w:p>
        </w:tc>
        <w:tc>
          <w:tcPr>
            <w:tcW w:w="3090" w:type="dxa"/>
            <w:vAlign w:val="center"/>
          </w:tcPr>
          <w:p w14:paraId="136575FF" w14:textId="284C8279" w:rsidR="002B0A60" w:rsidRDefault="002B0A60" w:rsidP="00484EE0">
            <w:pPr>
              <w:jc w:val="center"/>
              <w:rPr>
                <w:rFonts w:asciiTheme="majorHAnsi" w:hAnsiTheme="majorHAnsi" w:cstheme="majorHAnsi"/>
              </w:rPr>
            </w:pPr>
            <w:r w:rsidRPr="00262C88">
              <w:rPr>
                <w:rFonts w:asciiTheme="majorHAnsi" w:hAnsiTheme="majorHAnsi" w:cstheme="majorHAnsi"/>
              </w:rPr>
              <w:t xml:space="preserve">Eduardo </w:t>
            </w:r>
            <w:proofErr w:type="spellStart"/>
            <w:r w:rsidRPr="00262C88">
              <w:rPr>
                <w:rFonts w:asciiTheme="majorHAnsi" w:hAnsiTheme="majorHAnsi" w:cstheme="majorHAnsi"/>
              </w:rPr>
              <w:t>Varetto</w:t>
            </w:r>
            <w:proofErr w:type="spellEnd"/>
            <w:r w:rsidRPr="00262C88">
              <w:rPr>
                <w:rFonts w:asciiTheme="majorHAnsi" w:hAnsiTheme="majorHAnsi" w:cstheme="majorHAnsi"/>
              </w:rPr>
              <w:t xml:space="preserve"> Ramos</w:t>
            </w:r>
          </w:p>
        </w:tc>
        <w:tc>
          <w:tcPr>
            <w:tcW w:w="5340" w:type="dxa"/>
            <w:vAlign w:val="center"/>
          </w:tcPr>
          <w:p w14:paraId="366C7F58" w14:textId="3EE630B6" w:rsidR="002B0A60" w:rsidRPr="00262C88" w:rsidRDefault="00262C88" w:rsidP="00484EE0">
            <w:pPr>
              <w:jc w:val="center"/>
              <w:rPr>
                <w:rFonts w:asciiTheme="majorHAnsi" w:hAnsiTheme="majorHAnsi" w:cstheme="majorHAnsi"/>
              </w:rPr>
            </w:pPr>
            <w:hyperlink r:id="rId14" w:history="1">
              <w:r w:rsidRPr="005F53F9">
                <w:rPr>
                  <w:rFonts w:asciiTheme="majorHAnsi" w:hAnsiTheme="majorHAnsi" w:cstheme="majorHAnsi"/>
                </w:rPr>
                <w:t>EVaretto@brinks.com</w:t>
              </w:r>
            </w:hyperlink>
          </w:p>
        </w:tc>
      </w:tr>
      <w:tr w:rsidR="00072C53" w:rsidRPr="005F53F9" w14:paraId="49EEEE0E" w14:textId="77777777" w:rsidTr="3F806670">
        <w:trPr>
          <w:trHeight w:val="353"/>
        </w:trPr>
        <w:tc>
          <w:tcPr>
            <w:tcW w:w="1885" w:type="dxa"/>
          </w:tcPr>
          <w:p w14:paraId="7EF8515C" w14:textId="65FE69BF" w:rsidR="00072C53" w:rsidRDefault="00CF447D" w:rsidP="00CF447D">
            <w:pPr>
              <w:jc w:val="center"/>
              <w:rPr>
                <w:rFonts w:asciiTheme="majorHAnsi" w:hAnsiTheme="majorHAnsi" w:cstheme="majorHAnsi"/>
              </w:rPr>
            </w:pPr>
            <w:r>
              <w:rPr>
                <w:rFonts w:asciiTheme="majorHAnsi" w:hAnsiTheme="majorHAnsi" w:cstheme="majorHAnsi"/>
              </w:rPr>
              <w:t>Mexico</w:t>
            </w:r>
          </w:p>
        </w:tc>
        <w:tc>
          <w:tcPr>
            <w:tcW w:w="3090" w:type="dxa"/>
            <w:vAlign w:val="center"/>
          </w:tcPr>
          <w:p w14:paraId="175632BB" w14:textId="0B19DCC2" w:rsidR="00072C53" w:rsidRDefault="005F53F9" w:rsidP="00484EE0">
            <w:pPr>
              <w:jc w:val="center"/>
              <w:rPr>
                <w:rFonts w:asciiTheme="majorHAnsi" w:hAnsiTheme="majorHAnsi" w:cstheme="majorHAnsi"/>
              </w:rPr>
            </w:pPr>
            <w:r>
              <w:rPr>
                <w:rFonts w:asciiTheme="majorHAnsi" w:hAnsiTheme="majorHAnsi" w:cstheme="majorHAnsi"/>
              </w:rPr>
              <w:t>Ricardo Madrazo</w:t>
            </w:r>
          </w:p>
        </w:tc>
        <w:tc>
          <w:tcPr>
            <w:tcW w:w="5340" w:type="dxa"/>
            <w:vAlign w:val="center"/>
          </w:tcPr>
          <w:p w14:paraId="60E4F098" w14:textId="0AE11C95" w:rsidR="00072C53" w:rsidRPr="00484EE0" w:rsidRDefault="00CF447D" w:rsidP="00484EE0">
            <w:pPr>
              <w:jc w:val="center"/>
              <w:rPr>
                <w:rFonts w:asciiTheme="majorHAnsi" w:hAnsiTheme="majorHAnsi" w:cstheme="majorHAnsi"/>
              </w:rPr>
            </w:pPr>
            <w:r w:rsidRPr="00CF447D">
              <w:rPr>
                <w:rFonts w:asciiTheme="majorHAnsi" w:hAnsiTheme="majorHAnsi" w:cstheme="majorHAnsi"/>
              </w:rPr>
              <w:t>ricardo.madrazod@panamericano.mx</w:t>
            </w:r>
          </w:p>
        </w:tc>
      </w:tr>
    </w:tbl>
    <w:p w14:paraId="080245CB" w14:textId="787EEADA" w:rsidR="00355B9F" w:rsidRPr="00B53FC1" w:rsidRDefault="000B76B4" w:rsidP="00B53FC1">
      <w:pPr>
        <w:pStyle w:val="Heading1"/>
        <w:rPr>
          <w:color w:val="auto"/>
        </w:rPr>
      </w:pPr>
      <w:bookmarkStart w:id="105" w:name="_Toc186790749"/>
      <w:r w:rsidRPr="00B53FC1">
        <w:rPr>
          <w:color w:val="auto"/>
        </w:rPr>
        <w:t>Local Adaptation Guidelines</w:t>
      </w:r>
      <w:bookmarkEnd w:id="105"/>
    </w:p>
    <w:p w14:paraId="23B442AD" w14:textId="77777777" w:rsidR="000B76B4" w:rsidRPr="000B76B4" w:rsidRDefault="000B76B4" w:rsidP="000B76B4"/>
    <w:p w14:paraId="1FB170D1" w14:textId="0499E47E" w:rsidR="00DC7C5A" w:rsidRDefault="6B3824FD" w:rsidP="6B3824FD">
      <w:pPr>
        <w:rPr>
          <w:rFonts w:asciiTheme="majorHAnsi" w:hAnsiTheme="majorHAnsi" w:cstheme="majorBidi"/>
        </w:rPr>
      </w:pPr>
      <w:r w:rsidRPr="6B3824FD">
        <w:rPr>
          <w:rFonts w:asciiTheme="majorHAnsi" w:hAnsiTheme="majorHAnsi" w:cstheme="majorBidi"/>
        </w:rPr>
        <w:t>This policy was set at a global level to create standardization across the enterprise. The policy is intended to provide all Brink’s countries with general guidance and guardrails to ensure we manage expenditure in a smart, disciplined manner.</w:t>
      </w:r>
    </w:p>
    <w:p w14:paraId="10B430B0" w14:textId="77777777" w:rsidR="00DC7C5A" w:rsidRDefault="00DC7C5A" w:rsidP="00DC7C5A">
      <w:pPr>
        <w:rPr>
          <w:rFonts w:asciiTheme="majorHAnsi" w:hAnsiTheme="majorHAnsi" w:cstheme="majorHAnsi"/>
        </w:rPr>
      </w:pPr>
      <w:r w:rsidRPr="00DC7C5A">
        <w:rPr>
          <w:rFonts w:asciiTheme="majorHAnsi" w:hAnsiTheme="majorHAnsi" w:cstheme="majorHAnsi"/>
        </w:rPr>
        <w:br/>
        <w:t xml:space="preserve">However, as part of the implementation, each </w:t>
      </w:r>
      <w:r>
        <w:rPr>
          <w:rFonts w:asciiTheme="majorHAnsi" w:hAnsiTheme="majorHAnsi" w:cstheme="majorHAnsi"/>
        </w:rPr>
        <w:t>country may</w:t>
      </w:r>
      <w:r w:rsidRPr="00DC7C5A">
        <w:rPr>
          <w:rFonts w:asciiTheme="majorHAnsi" w:hAnsiTheme="majorHAnsi" w:cstheme="majorHAnsi"/>
        </w:rPr>
        <w:t xml:space="preserve"> need to review this policy and provide additional context as to how it will be operationalized to account for local variations. There may be scenarios where the global policy:</w:t>
      </w:r>
    </w:p>
    <w:p w14:paraId="747E2A12" w14:textId="77777777" w:rsidR="00EE0E28" w:rsidRDefault="00EE0E28" w:rsidP="00DC7C5A">
      <w:pPr>
        <w:rPr>
          <w:rFonts w:asciiTheme="majorHAnsi" w:hAnsiTheme="majorHAnsi" w:cstheme="majorHAnsi"/>
        </w:rPr>
      </w:pPr>
    </w:p>
    <w:p w14:paraId="7A9386F3" w14:textId="134A1EA0" w:rsidR="00DC7C5A" w:rsidRPr="00DC7C5A" w:rsidRDefault="007D2D0B" w:rsidP="00D20217">
      <w:pPr>
        <w:pStyle w:val="ListParagraph"/>
        <w:numPr>
          <w:ilvl w:val="0"/>
          <w:numId w:val="7"/>
        </w:numPr>
        <w:rPr>
          <w:rFonts w:asciiTheme="majorHAnsi" w:hAnsiTheme="majorHAnsi" w:cstheme="majorHAnsi"/>
          <w:lang w:val="en-GB"/>
        </w:rPr>
      </w:pPr>
      <w:r w:rsidRPr="00DC7C5A">
        <w:rPr>
          <w:rFonts w:asciiTheme="majorHAnsi" w:hAnsiTheme="majorHAnsi" w:cstheme="majorHAnsi"/>
        </w:rPr>
        <w:t>conflicts with</w:t>
      </w:r>
      <w:r w:rsidR="00DC7C5A" w:rsidRPr="00DC7C5A">
        <w:rPr>
          <w:rFonts w:asciiTheme="majorHAnsi" w:hAnsiTheme="majorHAnsi" w:cstheme="majorHAnsi"/>
        </w:rPr>
        <w:t xml:space="preserve"> local compliance</w:t>
      </w:r>
    </w:p>
    <w:p w14:paraId="61EDB25B" w14:textId="75BD82D2" w:rsidR="00DC7C5A" w:rsidRPr="00DC7C5A" w:rsidRDefault="00DC7C5A" w:rsidP="00D20217">
      <w:pPr>
        <w:pStyle w:val="ListParagraph"/>
        <w:numPr>
          <w:ilvl w:val="0"/>
          <w:numId w:val="7"/>
        </w:numPr>
        <w:rPr>
          <w:rFonts w:asciiTheme="majorHAnsi" w:hAnsiTheme="majorHAnsi" w:cstheme="majorHAnsi"/>
          <w:lang w:val="en-GB"/>
        </w:rPr>
      </w:pPr>
      <w:r w:rsidRPr="00DC7C5A">
        <w:rPr>
          <w:rFonts w:asciiTheme="majorHAnsi" w:hAnsiTheme="majorHAnsi" w:cstheme="majorHAnsi"/>
        </w:rPr>
        <w:t>is less stringent than existing local practices or policies</w:t>
      </w:r>
    </w:p>
    <w:p w14:paraId="6F7E3D3D" w14:textId="3138E51D" w:rsidR="006A3873" w:rsidRPr="00DF21BE" w:rsidRDefault="00DC7C5A" w:rsidP="00DF21BE">
      <w:pPr>
        <w:pStyle w:val="ListParagraph"/>
        <w:numPr>
          <w:ilvl w:val="0"/>
          <w:numId w:val="7"/>
        </w:numPr>
        <w:rPr>
          <w:lang w:val="en-GB"/>
        </w:rPr>
      </w:pPr>
      <w:r w:rsidRPr="00DC7C5A">
        <w:rPr>
          <w:rFonts w:asciiTheme="majorHAnsi" w:hAnsiTheme="majorHAnsi" w:cstheme="majorHAnsi"/>
        </w:rPr>
        <w:t xml:space="preserve">provides directional guidance for </w:t>
      </w:r>
      <w:r w:rsidR="009779C3">
        <w:rPr>
          <w:rFonts w:asciiTheme="majorHAnsi" w:hAnsiTheme="majorHAnsi" w:cstheme="majorHAnsi"/>
        </w:rPr>
        <w:t>country</w:t>
      </w:r>
      <w:r w:rsidRPr="00DC7C5A">
        <w:rPr>
          <w:rFonts w:asciiTheme="majorHAnsi" w:hAnsiTheme="majorHAnsi" w:cstheme="majorHAnsi"/>
        </w:rPr>
        <w:t xml:space="preserve"> operationalizing – </w:t>
      </w:r>
      <w:r w:rsidR="00A062D5" w:rsidRPr="00A062D5">
        <w:rPr>
          <w:rFonts w:asciiTheme="majorHAnsi" w:hAnsiTheme="majorHAnsi" w:cstheme="majorHAnsi"/>
        </w:rPr>
        <w:t xml:space="preserve">for example, if VP approval is required, each country can determine which specific </w:t>
      </w:r>
      <w:r w:rsidR="00497784" w:rsidRPr="00A062D5">
        <w:rPr>
          <w:rFonts w:asciiTheme="majorHAnsi" w:hAnsiTheme="majorHAnsi" w:cstheme="majorHAnsi"/>
        </w:rPr>
        <w:t>VP,</w:t>
      </w:r>
      <w:r w:rsidR="00A062D5" w:rsidRPr="00A062D5">
        <w:rPr>
          <w:rFonts w:asciiTheme="majorHAnsi" w:hAnsiTheme="majorHAnsi" w:cstheme="majorHAnsi"/>
        </w:rPr>
        <w:t xml:space="preserve"> or equivalent role will provide that approval.</w:t>
      </w:r>
    </w:p>
    <w:p w14:paraId="6EA69033" w14:textId="77777777" w:rsidR="008E5867" w:rsidRDefault="008E5867" w:rsidP="00DF21BE">
      <w:pPr>
        <w:rPr>
          <w:rFonts w:ascii="Calibri (heading)" w:hAnsi="Calibri (heading)"/>
          <w:lang w:val="en-GB"/>
        </w:rPr>
      </w:pPr>
    </w:p>
    <w:p w14:paraId="72B5449E" w14:textId="317349EC" w:rsidR="00DF21BE" w:rsidRDefault="008E5867" w:rsidP="00DF21BE">
      <w:pPr>
        <w:rPr>
          <w:rFonts w:ascii="Calibri (heading)" w:hAnsi="Calibri (heading)"/>
          <w:lang w:val="en-GB"/>
        </w:rPr>
      </w:pPr>
      <w:r w:rsidRPr="008E5867">
        <w:rPr>
          <w:rFonts w:ascii="Calibri (heading)" w:hAnsi="Calibri (heading)"/>
          <w:lang w:val="en-GB"/>
        </w:rPr>
        <w:t xml:space="preserve">In instances where local laws, policies, or practices conflict with the </w:t>
      </w:r>
      <w:r>
        <w:rPr>
          <w:rFonts w:ascii="Calibri (heading)" w:hAnsi="Calibri (heading)"/>
          <w:lang w:val="en-GB"/>
        </w:rPr>
        <w:t>Global Contingent Workforce Policy</w:t>
      </w:r>
      <w:r w:rsidRPr="008E5867">
        <w:rPr>
          <w:rFonts w:ascii="Calibri (heading)" w:hAnsi="Calibri (heading)"/>
          <w:lang w:val="en-GB"/>
        </w:rPr>
        <w:t xml:space="preserve">, local laws will supersede </w:t>
      </w:r>
      <w:proofErr w:type="gramStart"/>
      <w:r w:rsidRPr="008E5867">
        <w:rPr>
          <w:rFonts w:ascii="Calibri (heading)" w:hAnsi="Calibri (heading)"/>
          <w:lang w:val="en-GB"/>
        </w:rPr>
        <w:t>this</w:t>
      </w:r>
      <w:proofErr w:type="gramEnd"/>
      <w:r w:rsidRPr="008E5867">
        <w:rPr>
          <w:rFonts w:ascii="Calibri (heading)" w:hAnsi="Calibri (heading)"/>
          <w:lang w:val="en-GB"/>
        </w:rPr>
        <w:t xml:space="preserve"> </w:t>
      </w:r>
      <w:r>
        <w:rPr>
          <w:rFonts w:ascii="Calibri (heading)" w:hAnsi="Calibri (heading)"/>
          <w:lang w:val="en-GB"/>
        </w:rPr>
        <w:t>P</w:t>
      </w:r>
      <w:r w:rsidRPr="008E5867">
        <w:rPr>
          <w:rFonts w:ascii="Calibri (heading)" w:hAnsi="Calibri (heading)"/>
          <w:lang w:val="en-GB"/>
        </w:rPr>
        <w:t>olicy.</w:t>
      </w:r>
    </w:p>
    <w:p w14:paraId="5B44A417" w14:textId="77777777" w:rsidR="0040024C" w:rsidRDefault="0040024C" w:rsidP="0040024C">
      <w:pPr>
        <w:pStyle w:val="paragraph"/>
        <w:spacing w:before="0" w:beforeAutospacing="0" w:after="0" w:afterAutospacing="0"/>
        <w:textAlignment w:val="baseline"/>
        <w:rPr>
          <w:rFonts w:ascii="Calibri" w:hAnsi="Calibri" w:cs="Calibri"/>
          <w:b/>
          <w:bCs/>
          <w:sz w:val="28"/>
          <w:szCs w:val="28"/>
        </w:rPr>
      </w:pPr>
    </w:p>
    <w:p w14:paraId="37B55440" w14:textId="76D81904" w:rsidR="0040024C" w:rsidRPr="002436BF" w:rsidRDefault="0040024C" w:rsidP="00592AE0">
      <w:pPr>
        <w:pStyle w:val="Heading2"/>
        <w:numPr>
          <w:ilvl w:val="0"/>
          <w:numId w:val="0"/>
        </w:numPr>
        <w:rPr>
          <w:color w:val="auto"/>
        </w:rPr>
      </w:pPr>
      <w:bookmarkStart w:id="106" w:name="_Toc186790750"/>
      <w:r w:rsidRPr="002436BF">
        <w:rPr>
          <w:color w:val="auto"/>
        </w:rPr>
        <w:t>Steps for Adaptation</w:t>
      </w:r>
      <w:bookmarkEnd w:id="106"/>
    </w:p>
    <w:p w14:paraId="426DDDF0" w14:textId="77777777" w:rsidR="0040024C" w:rsidRPr="00E51450" w:rsidRDefault="0040024C" w:rsidP="00AC3259">
      <w:pPr>
        <w:pStyle w:val="Heading3"/>
        <w:numPr>
          <w:ilvl w:val="0"/>
          <w:numId w:val="0"/>
        </w:numPr>
        <w:rPr>
          <w:rFonts w:ascii="Calibri" w:hAnsi="Calibri" w:cs="Calibri"/>
          <w:color w:val="auto"/>
        </w:rPr>
      </w:pPr>
      <w:bookmarkStart w:id="107" w:name="_Toc186790751"/>
      <w:r w:rsidRPr="00E51450">
        <w:rPr>
          <w:rFonts w:ascii="Calibri" w:hAnsi="Calibri" w:cs="Calibri"/>
          <w:color w:val="auto"/>
        </w:rPr>
        <w:t xml:space="preserve">1. </w:t>
      </w:r>
      <w:r w:rsidRPr="00E51450">
        <w:rPr>
          <w:rStyle w:val="Heading3Char"/>
          <w:b/>
          <w:bCs/>
          <w:color w:val="auto"/>
        </w:rPr>
        <w:t>Review and Assessment</w:t>
      </w:r>
      <w:bookmarkEnd w:id="107"/>
    </w:p>
    <w:p w14:paraId="0BE80CFE" w14:textId="77777777" w:rsidR="0040024C" w:rsidRPr="00E67163" w:rsidRDefault="0040024C" w:rsidP="0040024C">
      <w:pPr>
        <w:pStyle w:val="paragraph"/>
        <w:numPr>
          <w:ilvl w:val="0"/>
          <w:numId w:val="8"/>
        </w:numPr>
        <w:spacing w:before="0" w:beforeAutospacing="0" w:after="0" w:afterAutospacing="0"/>
        <w:textAlignment w:val="baseline"/>
        <w:rPr>
          <w:rFonts w:ascii="Calibri" w:hAnsi="Calibri" w:cs="Calibri"/>
        </w:rPr>
      </w:pPr>
      <w:r w:rsidRPr="00E67163">
        <w:rPr>
          <w:rFonts w:ascii="Calibri" w:hAnsi="Calibri" w:cs="Calibri"/>
          <w:b/>
          <w:bCs/>
        </w:rPr>
        <w:t>Gap Analysis:</w:t>
      </w:r>
      <w:r w:rsidRPr="00E67163">
        <w:rPr>
          <w:rFonts w:ascii="Calibri" w:hAnsi="Calibri" w:cs="Calibri"/>
        </w:rPr>
        <w:t xml:space="preserve"> Identify areas where the global policy:</w:t>
      </w:r>
    </w:p>
    <w:p w14:paraId="604726B7" w14:textId="77777777" w:rsidR="0040024C" w:rsidRPr="00E67163" w:rsidRDefault="0040024C" w:rsidP="0040024C">
      <w:pPr>
        <w:pStyle w:val="paragraph"/>
        <w:numPr>
          <w:ilvl w:val="1"/>
          <w:numId w:val="8"/>
        </w:numPr>
        <w:spacing w:before="0" w:beforeAutospacing="0" w:after="0" w:afterAutospacing="0"/>
        <w:textAlignment w:val="baseline"/>
        <w:rPr>
          <w:rFonts w:ascii="Calibri" w:hAnsi="Calibri" w:cs="Calibri"/>
        </w:rPr>
      </w:pPr>
      <w:r w:rsidRPr="00E67163">
        <w:rPr>
          <w:rFonts w:ascii="Calibri" w:hAnsi="Calibri" w:cs="Calibri"/>
        </w:rPr>
        <w:t>Conflicts with local regulations.</w:t>
      </w:r>
    </w:p>
    <w:p w14:paraId="24A52E66" w14:textId="77777777" w:rsidR="0040024C" w:rsidRPr="00E67163" w:rsidRDefault="0040024C" w:rsidP="0040024C">
      <w:pPr>
        <w:pStyle w:val="paragraph"/>
        <w:numPr>
          <w:ilvl w:val="1"/>
          <w:numId w:val="8"/>
        </w:numPr>
        <w:spacing w:before="0" w:beforeAutospacing="0" w:after="0" w:afterAutospacing="0"/>
        <w:textAlignment w:val="baseline"/>
        <w:rPr>
          <w:rFonts w:ascii="Calibri" w:hAnsi="Calibri" w:cs="Calibri"/>
        </w:rPr>
      </w:pPr>
      <w:r w:rsidRPr="00E67163">
        <w:rPr>
          <w:rFonts w:ascii="Calibri" w:hAnsi="Calibri" w:cs="Calibri"/>
        </w:rPr>
        <w:t>Is less stringent than existing local policies.</w:t>
      </w:r>
    </w:p>
    <w:p w14:paraId="6FF1B274" w14:textId="77777777" w:rsidR="0040024C" w:rsidRPr="00E67163" w:rsidRDefault="0040024C" w:rsidP="0040024C">
      <w:pPr>
        <w:pStyle w:val="paragraph"/>
        <w:numPr>
          <w:ilvl w:val="1"/>
          <w:numId w:val="8"/>
        </w:numPr>
        <w:spacing w:before="0" w:beforeAutospacing="0" w:after="0" w:afterAutospacing="0"/>
        <w:textAlignment w:val="baseline"/>
        <w:rPr>
          <w:rFonts w:ascii="Calibri" w:hAnsi="Calibri" w:cs="Calibri"/>
        </w:rPr>
      </w:pPr>
      <w:r w:rsidRPr="00E67163">
        <w:rPr>
          <w:rFonts w:ascii="Calibri" w:hAnsi="Calibri" w:cs="Calibri"/>
        </w:rPr>
        <w:t>Requires additional clarity for practical application.</w:t>
      </w:r>
    </w:p>
    <w:p w14:paraId="2657FD36" w14:textId="77777777" w:rsidR="0040024C" w:rsidRDefault="0040024C" w:rsidP="0040024C">
      <w:pPr>
        <w:pStyle w:val="paragraph"/>
        <w:numPr>
          <w:ilvl w:val="0"/>
          <w:numId w:val="8"/>
        </w:numPr>
        <w:spacing w:before="0" w:beforeAutospacing="0" w:after="0" w:afterAutospacing="0"/>
        <w:textAlignment w:val="baseline"/>
        <w:rPr>
          <w:rFonts w:ascii="Calibri" w:hAnsi="Calibri" w:cs="Calibri"/>
        </w:rPr>
      </w:pPr>
      <w:r w:rsidRPr="00E67163">
        <w:rPr>
          <w:rFonts w:ascii="Calibri" w:hAnsi="Calibri" w:cs="Calibri"/>
          <w:b/>
          <w:bCs/>
        </w:rPr>
        <w:t>Compliance Check:</w:t>
      </w:r>
      <w:r w:rsidRPr="00E67163">
        <w:rPr>
          <w:rFonts w:ascii="Calibri" w:hAnsi="Calibri" w:cs="Calibri"/>
        </w:rPr>
        <w:t xml:space="preserve"> Ensure alignment with all applicable local laws and regulations.</w:t>
      </w:r>
    </w:p>
    <w:p w14:paraId="1899B7D8" w14:textId="77777777" w:rsidR="0040024C" w:rsidRPr="00E67163" w:rsidRDefault="0040024C" w:rsidP="0040024C">
      <w:pPr>
        <w:pStyle w:val="paragraph"/>
        <w:spacing w:before="0" w:beforeAutospacing="0" w:after="0" w:afterAutospacing="0"/>
        <w:ind w:left="360"/>
        <w:textAlignment w:val="baseline"/>
        <w:rPr>
          <w:rFonts w:ascii="Calibri" w:hAnsi="Calibri" w:cs="Calibri"/>
        </w:rPr>
      </w:pPr>
    </w:p>
    <w:p w14:paraId="5C2E87EC" w14:textId="77777777" w:rsidR="0040024C" w:rsidRPr="00E51450" w:rsidRDefault="0040024C" w:rsidP="00592AE0">
      <w:pPr>
        <w:pStyle w:val="Heading3"/>
        <w:numPr>
          <w:ilvl w:val="0"/>
          <w:numId w:val="0"/>
        </w:numPr>
        <w:rPr>
          <w:color w:val="auto"/>
        </w:rPr>
      </w:pPr>
      <w:bookmarkStart w:id="108" w:name="_Toc186790752"/>
      <w:r w:rsidRPr="00E51450">
        <w:rPr>
          <w:color w:val="auto"/>
        </w:rPr>
        <w:t>2. Local Contextualization</w:t>
      </w:r>
      <w:bookmarkEnd w:id="108"/>
    </w:p>
    <w:p w14:paraId="00215A41" w14:textId="77777777" w:rsidR="0040024C" w:rsidRPr="00E67163" w:rsidRDefault="0040024C" w:rsidP="0040024C">
      <w:pPr>
        <w:pStyle w:val="paragraph"/>
        <w:numPr>
          <w:ilvl w:val="0"/>
          <w:numId w:val="9"/>
        </w:numPr>
        <w:spacing w:before="0" w:beforeAutospacing="0" w:after="0" w:afterAutospacing="0"/>
        <w:textAlignment w:val="baseline"/>
        <w:rPr>
          <w:rFonts w:ascii="Calibri" w:hAnsi="Calibri" w:cs="Calibri"/>
        </w:rPr>
      </w:pPr>
      <w:r w:rsidRPr="00E67163">
        <w:rPr>
          <w:rFonts w:ascii="Calibri" w:hAnsi="Calibri" w:cs="Calibri"/>
        </w:rPr>
        <w:t>Develop a localized version of the policy that:</w:t>
      </w:r>
    </w:p>
    <w:p w14:paraId="1A902A36" w14:textId="77777777" w:rsidR="0040024C" w:rsidRPr="00E67163" w:rsidRDefault="0040024C" w:rsidP="0040024C">
      <w:pPr>
        <w:pStyle w:val="paragraph"/>
        <w:numPr>
          <w:ilvl w:val="1"/>
          <w:numId w:val="9"/>
        </w:numPr>
        <w:spacing w:before="0" w:beforeAutospacing="0" w:after="0" w:afterAutospacing="0"/>
        <w:textAlignment w:val="baseline"/>
        <w:rPr>
          <w:rFonts w:ascii="Calibri" w:hAnsi="Calibri" w:cs="Calibri"/>
        </w:rPr>
      </w:pPr>
      <w:r w:rsidRPr="00E67163">
        <w:rPr>
          <w:rFonts w:ascii="Calibri" w:hAnsi="Calibri" w:cs="Calibri"/>
        </w:rPr>
        <w:t>Maintains the intent of the global policy.</w:t>
      </w:r>
    </w:p>
    <w:p w14:paraId="27B00EBF" w14:textId="77777777" w:rsidR="0040024C" w:rsidRPr="00E67163" w:rsidRDefault="0040024C" w:rsidP="0040024C">
      <w:pPr>
        <w:pStyle w:val="paragraph"/>
        <w:numPr>
          <w:ilvl w:val="1"/>
          <w:numId w:val="9"/>
        </w:numPr>
        <w:spacing w:before="0" w:beforeAutospacing="0" w:after="0" w:afterAutospacing="0"/>
        <w:textAlignment w:val="baseline"/>
        <w:rPr>
          <w:rFonts w:ascii="Calibri" w:hAnsi="Calibri" w:cs="Calibri"/>
        </w:rPr>
      </w:pPr>
      <w:r w:rsidRPr="00E67163">
        <w:rPr>
          <w:rFonts w:ascii="Calibri" w:hAnsi="Calibri" w:cs="Calibri"/>
        </w:rPr>
        <w:t>Integrates stricter or unique local requirements.</w:t>
      </w:r>
    </w:p>
    <w:p w14:paraId="28326EEA" w14:textId="77777777" w:rsidR="0040024C" w:rsidRPr="00E67163" w:rsidRDefault="0040024C" w:rsidP="0040024C">
      <w:pPr>
        <w:pStyle w:val="paragraph"/>
        <w:numPr>
          <w:ilvl w:val="1"/>
          <w:numId w:val="9"/>
        </w:numPr>
        <w:spacing w:before="0" w:beforeAutospacing="0" w:after="0" w:afterAutospacing="0"/>
        <w:textAlignment w:val="baseline"/>
        <w:rPr>
          <w:rFonts w:ascii="Calibri" w:hAnsi="Calibri" w:cs="Calibri"/>
        </w:rPr>
      </w:pPr>
      <w:r w:rsidRPr="00E67163">
        <w:rPr>
          <w:rFonts w:ascii="Calibri" w:hAnsi="Calibri" w:cs="Calibri"/>
        </w:rPr>
        <w:t>Provides clear, actionable steps for operationalization.</w:t>
      </w:r>
    </w:p>
    <w:p w14:paraId="31D5D589" w14:textId="77777777" w:rsidR="0040024C" w:rsidRPr="00592AE0" w:rsidRDefault="0040024C" w:rsidP="00592AE0">
      <w:pPr>
        <w:pStyle w:val="Heading3"/>
        <w:numPr>
          <w:ilvl w:val="0"/>
          <w:numId w:val="0"/>
        </w:numPr>
        <w:rPr>
          <w:color w:val="auto"/>
        </w:rPr>
      </w:pPr>
      <w:bookmarkStart w:id="109" w:name="_Toc186790753"/>
      <w:r w:rsidRPr="00592AE0">
        <w:rPr>
          <w:color w:val="auto"/>
        </w:rPr>
        <w:t>3. Approval Process</w:t>
      </w:r>
      <w:bookmarkEnd w:id="109"/>
    </w:p>
    <w:p w14:paraId="736DAA07" w14:textId="77777777" w:rsidR="0040024C" w:rsidRPr="008270D5" w:rsidRDefault="0040024C" w:rsidP="0040024C">
      <w:pPr>
        <w:pStyle w:val="paragraph"/>
        <w:spacing w:before="0" w:beforeAutospacing="0" w:after="0" w:afterAutospacing="0"/>
        <w:textAlignment w:val="baseline"/>
        <w:rPr>
          <w:rFonts w:ascii="Calibri" w:hAnsi="Calibri" w:cs="Calibri"/>
        </w:rPr>
      </w:pPr>
      <w:r w:rsidRPr="008270D5">
        <w:rPr>
          <w:rFonts w:ascii="Calibri" w:hAnsi="Calibri" w:cs="Calibri"/>
        </w:rPr>
        <w:t>Adaptations to the global policy must undergo the following approval steps:</w:t>
      </w:r>
    </w:p>
    <w:p w14:paraId="5120D6C3" w14:textId="77777777" w:rsidR="0040024C" w:rsidRPr="008270D5" w:rsidRDefault="0040024C" w:rsidP="0040024C">
      <w:pPr>
        <w:pStyle w:val="paragraph"/>
        <w:numPr>
          <w:ilvl w:val="0"/>
          <w:numId w:val="10"/>
        </w:numPr>
        <w:spacing w:before="0" w:beforeAutospacing="0" w:after="0" w:afterAutospacing="0"/>
        <w:textAlignment w:val="baseline"/>
        <w:rPr>
          <w:rFonts w:ascii="Calibri" w:hAnsi="Calibri" w:cs="Calibri"/>
        </w:rPr>
      </w:pPr>
      <w:r w:rsidRPr="00E51450">
        <w:rPr>
          <w:rFonts w:ascii="Calibri" w:hAnsi="Calibri" w:cs="Calibri"/>
        </w:rPr>
        <w:t>Draft Proposal:</w:t>
      </w:r>
      <w:r w:rsidRPr="008270D5">
        <w:rPr>
          <w:rFonts w:ascii="Calibri" w:hAnsi="Calibri" w:cs="Calibri"/>
        </w:rPr>
        <w:br/>
        <w:t>Submit a detailed proposal outlining:</w:t>
      </w:r>
    </w:p>
    <w:p w14:paraId="73DBD95E" w14:textId="77777777" w:rsidR="0040024C" w:rsidRPr="008270D5" w:rsidRDefault="0040024C" w:rsidP="0040024C">
      <w:pPr>
        <w:pStyle w:val="paragraph"/>
        <w:numPr>
          <w:ilvl w:val="1"/>
          <w:numId w:val="10"/>
        </w:numPr>
        <w:spacing w:before="0" w:beforeAutospacing="0" w:after="0" w:afterAutospacing="0"/>
        <w:textAlignment w:val="baseline"/>
        <w:rPr>
          <w:rFonts w:ascii="Calibri" w:hAnsi="Calibri" w:cs="Calibri"/>
        </w:rPr>
      </w:pPr>
      <w:r w:rsidRPr="008270D5">
        <w:rPr>
          <w:rFonts w:ascii="Calibri" w:hAnsi="Calibri" w:cs="Calibri"/>
        </w:rPr>
        <w:t>The identified local variation or conflict.</w:t>
      </w:r>
    </w:p>
    <w:p w14:paraId="542EE5E1" w14:textId="77777777" w:rsidR="0040024C" w:rsidRPr="008270D5" w:rsidRDefault="0040024C" w:rsidP="0040024C">
      <w:pPr>
        <w:pStyle w:val="paragraph"/>
        <w:numPr>
          <w:ilvl w:val="1"/>
          <w:numId w:val="10"/>
        </w:numPr>
        <w:spacing w:before="0" w:beforeAutospacing="0" w:after="0" w:afterAutospacing="0"/>
        <w:textAlignment w:val="baseline"/>
        <w:rPr>
          <w:rFonts w:ascii="Calibri" w:hAnsi="Calibri" w:cs="Calibri"/>
        </w:rPr>
      </w:pPr>
      <w:r w:rsidRPr="008270D5">
        <w:rPr>
          <w:rFonts w:ascii="Calibri" w:hAnsi="Calibri" w:cs="Calibri"/>
        </w:rPr>
        <w:t>The rationale for the proposed adaptation.</w:t>
      </w:r>
    </w:p>
    <w:p w14:paraId="2635D6F6" w14:textId="77777777" w:rsidR="0040024C" w:rsidRPr="008270D5" w:rsidRDefault="0040024C" w:rsidP="0040024C">
      <w:pPr>
        <w:pStyle w:val="paragraph"/>
        <w:numPr>
          <w:ilvl w:val="1"/>
          <w:numId w:val="10"/>
        </w:numPr>
        <w:spacing w:before="0" w:beforeAutospacing="0" w:after="0" w:afterAutospacing="0"/>
        <w:textAlignment w:val="baseline"/>
        <w:rPr>
          <w:rFonts w:ascii="Calibri" w:hAnsi="Calibri" w:cs="Calibri"/>
        </w:rPr>
      </w:pPr>
      <w:r w:rsidRPr="008270D5">
        <w:rPr>
          <w:rFonts w:ascii="Calibri" w:hAnsi="Calibri" w:cs="Calibri"/>
        </w:rPr>
        <w:t>Evidence of compliance with local regulations.</w:t>
      </w:r>
    </w:p>
    <w:p w14:paraId="7A845642" w14:textId="77777777" w:rsidR="0040024C" w:rsidRPr="008270D5" w:rsidRDefault="0040024C" w:rsidP="0040024C">
      <w:pPr>
        <w:pStyle w:val="paragraph"/>
        <w:numPr>
          <w:ilvl w:val="0"/>
          <w:numId w:val="10"/>
        </w:numPr>
        <w:spacing w:before="0" w:beforeAutospacing="0" w:after="0" w:afterAutospacing="0"/>
        <w:textAlignment w:val="baseline"/>
        <w:rPr>
          <w:rFonts w:ascii="Calibri" w:hAnsi="Calibri" w:cs="Calibri"/>
        </w:rPr>
      </w:pPr>
      <w:r w:rsidRPr="00E51450">
        <w:rPr>
          <w:rFonts w:ascii="Calibri" w:hAnsi="Calibri" w:cs="Calibri"/>
        </w:rPr>
        <w:t>Review by Regional General Counsel:</w:t>
      </w:r>
      <w:r w:rsidRPr="008270D5">
        <w:rPr>
          <w:rFonts w:ascii="Calibri" w:hAnsi="Calibri" w:cs="Calibri"/>
        </w:rPr>
        <w:br/>
        <w:t xml:space="preserve">Ensure the proposed adaptation complies with legal requirements and does not expose </w:t>
      </w:r>
      <w:r>
        <w:rPr>
          <w:rFonts w:ascii="Calibri" w:hAnsi="Calibri" w:cs="Calibri"/>
        </w:rPr>
        <w:t>Brinks</w:t>
      </w:r>
      <w:r w:rsidRPr="008270D5">
        <w:rPr>
          <w:rFonts w:ascii="Calibri" w:hAnsi="Calibri" w:cs="Calibri"/>
        </w:rPr>
        <w:t xml:space="preserve"> to unnecessary risks.</w:t>
      </w:r>
    </w:p>
    <w:p w14:paraId="41EE1956" w14:textId="77777777" w:rsidR="0040024C" w:rsidRPr="008270D5" w:rsidRDefault="0040024C" w:rsidP="0040024C">
      <w:pPr>
        <w:pStyle w:val="paragraph"/>
        <w:numPr>
          <w:ilvl w:val="0"/>
          <w:numId w:val="10"/>
        </w:numPr>
        <w:spacing w:before="0" w:beforeAutospacing="0" w:after="0" w:afterAutospacing="0"/>
        <w:textAlignment w:val="baseline"/>
        <w:rPr>
          <w:rFonts w:ascii="Calibri" w:hAnsi="Calibri" w:cs="Calibri"/>
        </w:rPr>
      </w:pPr>
      <w:r w:rsidRPr="00E51450">
        <w:rPr>
          <w:rFonts w:ascii="Calibri" w:hAnsi="Calibri" w:cs="Calibri"/>
        </w:rPr>
        <w:t>Review by HR VP/SVP:</w:t>
      </w:r>
      <w:r w:rsidRPr="008270D5">
        <w:rPr>
          <w:rFonts w:ascii="Calibri" w:hAnsi="Calibri" w:cs="Calibri"/>
        </w:rPr>
        <w:br/>
        <w:t>Confirm alignment with HR objectives, policies, and enterprise standards.</w:t>
      </w:r>
    </w:p>
    <w:p w14:paraId="664EDFB7" w14:textId="77777777" w:rsidR="0040024C" w:rsidRDefault="0040024C" w:rsidP="0040024C">
      <w:pPr>
        <w:pStyle w:val="paragraph"/>
        <w:numPr>
          <w:ilvl w:val="0"/>
          <w:numId w:val="10"/>
        </w:numPr>
        <w:spacing w:before="0" w:beforeAutospacing="0" w:after="0" w:afterAutospacing="0"/>
        <w:textAlignment w:val="baseline"/>
        <w:rPr>
          <w:rFonts w:ascii="Calibri" w:hAnsi="Calibri" w:cs="Calibri"/>
        </w:rPr>
      </w:pPr>
      <w:r w:rsidRPr="00E51450">
        <w:rPr>
          <w:rFonts w:ascii="Calibri" w:hAnsi="Calibri" w:cs="Calibri"/>
        </w:rPr>
        <w:t>Final Approval:</w:t>
      </w:r>
      <w:r w:rsidRPr="008270D5">
        <w:rPr>
          <w:rFonts w:ascii="Calibri" w:hAnsi="Calibri" w:cs="Calibri"/>
        </w:rPr>
        <w:br/>
        <w:t xml:space="preserve">Approval by both the Regional General Counsel and </w:t>
      </w:r>
      <w:r>
        <w:rPr>
          <w:rFonts w:ascii="Calibri" w:hAnsi="Calibri" w:cs="Calibri"/>
        </w:rPr>
        <w:t>Global CHRO</w:t>
      </w:r>
      <w:r w:rsidRPr="008270D5">
        <w:rPr>
          <w:rFonts w:ascii="Calibri" w:hAnsi="Calibri" w:cs="Calibri"/>
        </w:rPr>
        <w:t xml:space="preserve"> </w:t>
      </w:r>
      <w:r>
        <w:rPr>
          <w:rFonts w:ascii="Calibri" w:hAnsi="Calibri" w:cs="Calibri"/>
        </w:rPr>
        <w:t>are</w:t>
      </w:r>
      <w:r w:rsidRPr="008270D5">
        <w:rPr>
          <w:rFonts w:ascii="Calibri" w:hAnsi="Calibri" w:cs="Calibri"/>
        </w:rPr>
        <w:t xml:space="preserve"> mandatory before implementation.</w:t>
      </w:r>
    </w:p>
    <w:p w14:paraId="7AE969C3" w14:textId="77777777" w:rsidR="0040024C" w:rsidRDefault="0040024C" w:rsidP="0040024C">
      <w:pPr>
        <w:pStyle w:val="paragraph"/>
        <w:spacing w:before="0" w:beforeAutospacing="0" w:after="0" w:afterAutospacing="0"/>
        <w:textAlignment w:val="baseline"/>
        <w:rPr>
          <w:rFonts w:ascii="Calibri" w:hAnsi="Calibri" w:cs="Calibri"/>
        </w:rPr>
      </w:pPr>
    </w:p>
    <w:p w14:paraId="678B4876" w14:textId="77777777" w:rsidR="0040024C" w:rsidRPr="008270D5" w:rsidRDefault="0040024C" w:rsidP="0040024C">
      <w:pPr>
        <w:pStyle w:val="paragraph"/>
        <w:spacing w:before="0" w:beforeAutospacing="0" w:after="0" w:afterAutospacing="0"/>
        <w:textAlignment w:val="baseline"/>
        <w:rPr>
          <w:rFonts w:ascii="Calibri" w:hAnsi="Calibri" w:cs="Calibri"/>
          <w:b/>
          <w:bCs/>
          <w:sz w:val="28"/>
          <w:szCs w:val="28"/>
        </w:rPr>
      </w:pPr>
      <w:r w:rsidRPr="00EE3125">
        <w:rPr>
          <w:rFonts w:ascii="Calibri" w:hAnsi="Calibri" w:cs="Calibri"/>
          <w:b/>
          <w:bCs/>
          <w:sz w:val="28"/>
          <w:szCs w:val="28"/>
        </w:rPr>
        <w:t>Template for Local Adaptation Submission</w:t>
      </w:r>
    </w:p>
    <w:p w14:paraId="6567C2FD" w14:textId="77777777" w:rsidR="0040024C" w:rsidRDefault="0040024C" w:rsidP="0040024C">
      <w:pPr>
        <w:pStyle w:val="paragraph"/>
        <w:spacing w:before="0" w:beforeAutospacing="0" w:after="0" w:afterAutospacing="0"/>
        <w:textAlignment w:val="baseline"/>
        <w:rPr>
          <w:rFonts w:ascii="Calibri" w:hAnsi="Calibri" w:cs="Calibri"/>
        </w:rPr>
      </w:pPr>
    </w:p>
    <w:tbl>
      <w:tblPr>
        <w:tblStyle w:val="TableGrid"/>
        <w:tblW w:w="0" w:type="auto"/>
        <w:tblLook w:val="04A0" w:firstRow="1" w:lastRow="0" w:firstColumn="1" w:lastColumn="0" w:noHBand="0" w:noVBand="1"/>
      </w:tblPr>
      <w:tblGrid>
        <w:gridCol w:w="2695"/>
        <w:gridCol w:w="6655"/>
      </w:tblGrid>
      <w:tr w:rsidR="0040024C" w14:paraId="192C889D" w14:textId="77777777" w:rsidTr="00202823">
        <w:tc>
          <w:tcPr>
            <w:tcW w:w="2695" w:type="dxa"/>
            <w:shd w:val="clear" w:color="auto" w:fill="C6D9F1" w:themeFill="text2" w:themeFillTint="33"/>
          </w:tcPr>
          <w:p w14:paraId="58B041DE" w14:textId="77777777" w:rsidR="0040024C" w:rsidRPr="000E1269" w:rsidRDefault="0040024C" w:rsidP="00202823">
            <w:pPr>
              <w:jc w:val="center"/>
              <w:rPr>
                <w:rFonts w:ascii="Calibri" w:hAnsi="Calibri" w:cs="Calibri"/>
                <w:b/>
                <w:bCs/>
              </w:rPr>
            </w:pPr>
            <w:r w:rsidRPr="000E1269">
              <w:rPr>
                <w:rFonts w:ascii="Calibri" w:hAnsi="Calibri" w:cs="Calibri"/>
                <w:b/>
                <w:bCs/>
              </w:rPr>
              <w:t>Section</w:t>
            </w:r>
          </w:p>
        </w:tc>
        <w:tc>
          <w:tcPr>
            <w:tcW w:w="6655" w:type="dxa"/>
            <w:shd w:val="clear" w:color="auto" w:fill="C6D9F1" w:themeFill="text2" w:themeFillTint="33"/>
          </w:tcPr>
          <w:p w14:paraId="7CDBD94E" w14:textId="77777777" w:rsidR="0040024C" w:rsidRPr="000E1269" w:rsidRDefault="0040024C" w:rsidP="00202823">
            <w:pPr>
              <w:jc w:val="center"/>
              <w:rPr>
                <w:rFonts w:ascii="Calibri" w:hAnsi="Calibri" w:cs="Calibri"/>
                <w:b/>
                <w:bCs/>
              </w:rPr>
            </w:pPr>
            <w:r w:rsidRPr="000E1269">
              <w:rPr>
                <w:rFonts w:ascii="Calibri" w:hAnsi="Calibri" w:cs="Calibri"/>
                <w:b/>
                <w:bCs/>
              </w:rPr>
              <w:t>Details</w:t>
            </w:r>
          </w:p>
        </w:tc>
      </w:tr>
      <w:tr w:rsidR="0040024C" w14:paraId="2C567F9C" w14:textId="77777777" w:rsidTr="00842544">
        <w:tc>
          <w:tcPr>
            <w:tcW w:w="2695" w:type="dxa"/>
          </w:tcPr>
          <w:p w14:paraId="5C81AB80" w14:textId="77777777" w:rsidR="0040024C" w:rsidRPr="00696E59" w:rsidRDefault="0040024C" w:rsidP="00842544">
            <w:pPr>
              <w:jc w:val="both"/>
              <w:rPr>
                <w:rFonts w:ascii="Calibri" w:hAnsi="Calibri" w:cs="Calibri"/>
                <w:b/>
                <w:bCs/>
              </w:rPr>
            </w:pPr>
            <w:r w:rsidRPr="00696E59">
              <w:rPr>
                <w:rFonts w:ascii="Calibri" w:hAnsi="Calibri" w:cs="Calibri"/>
                <w:b/>
                <w:bCs/>
              </w:rPr>
              <w:t>Country/Region</w:t>
            </w:r>
          </w:p>
        </w:tc>
        <w:tc>
          <w:tcPr>
            <w:tcW w:w="6655" w:type="dxa"/>
          </w:tcPr>
          <w:p w14:paraId="759D3DBD" w14:textId="77777777" w:rsidR="0040024C" w:rsidRPr="009E79C0" w:rsidRDefault="0040024C" w:rsidP="00842544">
            <w:pPr>
              <w:jc w:val="both"/>
              <w:rPr>
                <w:rFonts w:ascii="Calibri" w:hAnsi="Calibri" w:cs="Calibri"/>
              </w:rPr>
            </w:pPr>
            <w:r w:rsidRPr="009E79C0">
              <w:rPr>
                <w:rFonts w:ascii="Calibri" w:hAnsi="Calibri" w:cs="Calibri"/>
              </w:rPr>
              <w:t>Specific country or region where adaption is necessary</w:t>
            </w:r>
          </w:p>
        </w:tc>
      </w:tr>
      <w:tr w:rsidR="0040024C" w14:paraId="4AF762F2" w14:textId="77777777" w:rsidTr="00842544">
        <w:tc>
          <w:tcPr>
            <w:tcW w:w="2695" w:type="dxa"/>
          </w:tcPr>
          <w:p w14:paraId="0D6A5892" w14:textId="77777777" w:rsidR="0040024C" w:rsidRPr="00696E59" w:rsidRDefault="0040024C" w:rsidP="00842544">
            <w:pPr>
              <w:jc w:val="both"/>
              <w:rPr>
                <w:rFonts w:ascii="Calibri" w:hAnsi="Calibri" w:cs="Calibri"/>
                <w:b/>
                <w:bCs/>
              </w:rPr>
            </w:pPr>
            <w:r>
              <w:rPr>
                <w:rFonts w:ascii="Calibri" w:hAnsi="Calibri" w:cs="Calibri"/>
                <w:b/>
                <w:bCs/>
              </w:rPr>
              <w:t>Global Policy Reference</w:t>
            </w:r>
          </w:p>
        </w:tc>
        <w:tc>
          <w:tcPr>
            <w:tcW w:w="6655" w:type="dxa"/>
          </w:tcPr>
          <w:p w14:paraId="43D484CC" w14:textId="77777777" w:rsidR="0040024C" w:rsidRPr="009E79C0" w:rsidRDefault="0040024C" w:rsidP="00842544">
            <w:pPr>
              <w:jc w:val="both"/>
              <w:rPr>
                <w:rFonts w:ascii="Calibri" w:hAnsi="Calibri" w:cs="Calibri"/>
              </w:rPr>
            </w:pPr>
            <w:r w:rsidRPr="009E79C0">
              <w:rPr>
                <w:rFonts w:ascii="Calibri" w:hAnsi="Calibri" w:cs="Calibri"/>
              </w:rPr>
              <w:t>Identify the specific section of the global policy</w:t>
            </w:r>
          </w:p>
        </w:tc>
      </w:tr>
      <w:tr w:rsidR="0040024C" w14:paraId="0D2D7B76" w14:textId="77777777" w:rsidTr="00842544">
        <w:tc>
          <w:tcPr>
            <w:tcW w:w="2695" w:type="dxa"/>
          </w:tcPr>
          <w:p w14:paraId="0F9BB9C8" w14:textId="77777777" w:rsidR="0040024C" w:rsidRPr="00696E59" w:rsidRDefault="0040024C" w:rsidP="00842544">
            <w:pPr>
              <w:jc w:val="both"/>
              <w:rPr>
                <w:rFonts w:ascii="Calibri" w:hAnsi="Calibri" w:cs="Calibri"/>
                <w:b/>
                <w:bCs/>
              </w:rPr>
            </w:pPr>
            <w:r>
              <w:rPr>
                <w:rFonts w:ascii="Calibri" w:hAnsi="Calibri" w:cs="Calibri"/>
                <w:b/>
                <w:bCs/>
              </w:rPr>
              <w:t>Local Variation Identified</w:t>
            </w:r>
          </w:p>
        </w:tc>
        <w:tc>
          <w:tcPr>
            <w:tcW w:w="6655" w:type="dxa"/>
          </w:tcPr>
          <w:p w14:paraId="6432D54B" w14:textId="77777777" w:rsidR="0040024C" w:rsidRPr="009E79C0" w:rsidRDefault="0040024C" w:rsidP="00842544">
            <w:pPr>
              <w:jc w:val="both"/>
              <w:rPr>
                <w:rFonts w:ascii="Calibri" w:hAnsi="Calibri" w:cs="Calibri"/>
              </w:rPr>
            </w:pPr>
            <w:r>
              <w:rPr>
                <w:rFonts w:ascii="Calibri" w:hAnsi="Calibri" w:cs="Calibri"/>
              </w:rPr>
              <w:t>Described the conflict/issue with global policy</w:t>
            </w:r>
          </w:p>
        </w:tc>
      </w:tr>
      <w:tr w:rsidR="0040024C" w14:paraId="346DDD28" w14:textId="77777777" w:rsidTr="00842544">
        <w:tc>
          <w:tcPr>
            <w:tcW w:w="2695" w:type="dxa"/>
          </w:tcPr>
          <w:p w14:paraId="24E60FD9" w14:textId="77777777" w:rsidR="0040024C" w:rsidRPr="00696E59" w:rsidRDefault="0040024C" w:rsidP="00842544">
            <w:pPr>
              <w:jc w:val="both"/>
              <w:rPr>
                <w:rFonts w:ascii="Calibri" w:hAnsi="Calibri" w:cs="Calibri"/>
                <w:b/>
                <w:bCs/>
              </w:rPr>
            </w:pPr>
            <w:r>
              <w:rPr>
                <w:rFonts w:ascii="Calibri" w:hAnsi="Calibri" w:cs="Calibri"/>
                <w:b/>
                <w:bCs/>
              </w:rPr>
              <w:t>Proposed Adaptation</w:t>
            </w:r>
          </w:p>
        </w:tc>
        <w:tc>
          <w:tcPr>
            <w:tcW w:w="6655" w:type="dxa"/>
          </w:tcPr>
          <w:p w14:paraId="28FAB13B" w14:textId="77777777" w:rsidR="0040024C" w:rsidRPr="009E79C0" w:rsidRDefault="0040024C" w:rsidP="00842544">
            <w:pPr>
              <w:jc w:val="both"/>
              <w:rPr>
                <w:rFonts w:ascii="Calibri" w:hAnsi="Calibri" w:cs="Calibri"/>
              </w:rPr>
            </w:pPr>
            <w:r>
              <w:rPr>
                <w:rFonts w:ascii="Calibri" w:hAnsi="Calibri" w:cs="Calibri"/>
              </w:rPr>
              <w:t>Outline the proposed changes or additions</w:t>
            </w:r>
          </w:p>
        </w:tc>
      </w:tr>
      <w:tr w:rsidR="0040024C" w14:paraId="74E9696B" w14:textId="77777777" w:rsidTr="00842544">
        <w:tc>
          <w:tcPr>
            <w:tcW w:w="2695" w:type="dxa"/>
          </w:tcPr>
          <w:p w14:paraId="75CA0E43" w14:textId="77777777" w:rsidR="0040024C" w:rsidRPr="00696E59" w:rsidRDefault="0040024C" w:rsidP="00842544">
            <w:pPr>
              <w:jc w:val="both"/>
              <w:rPr>
                <w:rFonts w:ascii="Calibri" w:hAnsi="Calibri" w:cs="Calibri"/>
                <w:b/>
                <w:bCs/>
              </w:rPr>
            </w:pPr>
            <w:r>
              <w:rPr>
                <w:rFonts w:ascii="Calibri" w:hAnsi="Calibri" w:cs="Calibri"/>
                <w:b/>
                <w:bCs/>
              </w:rPr>
              <w:t>Compliance Justification</w:t>
            </w:r>
          </w:p>
        </w:tc>
        <w:tc>
          <w:tcPr>
            <w:tcW w:w="6655" w:type="dxa"/>
          </w:tcPr>
          <w:p w14:paraId="63920C29" w14:textId="77777777" w:rsidR="0040024C" w:rsidRPr="009E79C0" w:rsidRDefault="0040024C" w:rsidP="00842544">
            <w:pPr>
              <w:jc w:val="both"/>
              <w:rPr>
                <w:rFonts w:ascii="Calibri" w:hAnsi="Calibri" w:cs="Calibri"/>
              </w:rPr>
            </w:pPr>
            <w:r>
              <w:rPr>
                <w:rFonts w:ascii="Calibri" w:hAnsi="Calibri" w:cs="Calibri"/>
              </w:rPr>
              <w:t>Provide evidence of compliance with local regulations</w:t>
            </w:r>
          </w:p>
        </w:tc>
      </w:tr>
      <w:tr w:rsidR="0040024C" w14:paraId="0D0608C2" w14:textId="77777777" w:rsidTr="00842544">
        <w:tc>
          <w:tcPr>
            <w:tcW w:w="2695" w:type="dxa"/>
          </w:tcPr>
          <w:p w14:paraId="397E169F" w14:textId="77777777" w:rsidR="0040024C" w:rsidRPr="00696E59" w:rsidRDefault="0040024C" w:rsidP="00842544">
            <w:pPr>
              <w:jc w:val="both"/>
              <w:rPr>
                <w:rFonts w:ascii="Calibri" w:hAnsi="Calibri" w:cs="Calibri"/>
                <w:b/>
                <w:bCs/>
              </w:rPr>
            </w:pPr>
            <w:r>
              <w:rPr>
                <w:rFonts w:ascii="Calibri" w:hAnsi="Calibri" w:cs="Calibri"/>
                <w:b/>
                <w:bCs/>
              </w:rPr>
              <w:t>Implementation Plan</w:t>
            </w:r>
          </w:p>
        </w:tc>
        <w:tc>
          <w:tcPr>
            <w:tcW w:w="6655" w:type="dxa"/>
          </w:tcPr>
          <w:p w14:paraId="3536A934" w14:textId="77777777" w:rsidR="0040024C" w:rsidRPr="009E79C0" w:rsidRDefault="0040024C" w:rsidP="00842544">
            <w:pPr>
              <w:jc w:val="both"/>
              <w:rPr>
                <w:rFonts w:ascii="Calibri" w:hAnsi="Calibri" w:cs="Calibri"/>
              </w:rPr>
            </w:pPr>
            <w:r>
              <w:rPr>
                <w:rFonts w:ascii="Calibri" w:hAnsi="Calibri" w:cs="Calibri"/>
              </w:rPr>
              <w:t xml:space="preserve">Detail how the adapted policy will be operationalized </w:t>
            </w:r>
          </w:p>
        </w:tc>
      </w:tr>
      <w:tr w:rsidR="0040024C" w14:paraId="6D26719D" w14:textId="77777777" w:rsidTr="00842544">
        <w:tc>
          <w:tcPr>
            <w:tcW w:w="2695" w:type="dxa"/>
          </w:tcPr>
          <w:p w14:paraId="3B8ABE4A" w14:textId="77777777" w:rsidR="0040024C" w:rsidRPr="00696E59" w:rsidRDefault="0040024C" w:rsidP="00842544">
            <w:pPr>
              <w:jc w:val="both"/>
              <w:rPr>
                <w:rFonts w:ascii="Calibri" w:hAnsi="Calibri" w:cs="Calibri"/>
                <w:b/>
                <w:bCs/>
              </w:rPr>
            </w:pPr>
            <w:r>
              <w:rPr>
                <w:rFonts w:ascii="Calibri" w:hAnsi="Calibri" w:cs="Calibri"/>
                <w:b/>
                <w:bCs/>
              </w:rPr>
              <w:t>Approval Signatures</w:t>
            </w:r>
          </w:p>
        </w:tc>
        <w:tc>
          <w:tcPr>
            <w:tcW w:w="6655" w:type="dxa"/>
          </w:tcPr>
          <w:p w14:paraId="54B2DF1E" w14:textId="77777777" w:rsidR="0040024C" w:rsidRPr="009E79C0" w:rsidRDefault="0040024C" w:rsidP="00842544">
            <w:pPr>
              <w:jc w:val="both"/>
              <w:rPr>
                <w:rFonts w:ascii="Calibri" w:hAnsi="Calibri" w:cs="Calibri"/>
              </w:rPr>
            </w:pPr>
            <w:r>
              <w:rPr>
                <w:rFonts w:ascii="Calibri" w:hAnsi="Calibri" w:cs="Calibri"/>
              </w:rPr>
              <w:t>Include lines for signatures of the Regional GC &amp; CHRO</w:t>
            </w:r>
          </w:p>
        </w:tc>
      </w:tr>
    </w:tbl>
    <w:p w14:paraId="76E18D91" w14:textId="77777777" w:rsidR="0040024C" w:rsidRDefault="0040024C" w:rsidP="0040024C">
      <w:pPr>
        <w:rPr>
          <w:rFonts w:ascii="Calibri" w:hAnsi="Calibri" w:cs="Calibri"/>
          <w:b/>
          <w:bCs/>
          <w:sz w:val="28"/>
          <w:szCs w:val="28"/>
        </w:rPr>
      </w:pPr>
    </w:p>
    <w:p w14:paraId="4600E57E" w14:textId="77777777" w:rsidR="0040024C" w:rsidRPr="006F465E" w:rsidRDefault="0040024C" w:rsidP="006F465E">
      <w:pPr>
        <w:pStyle w:val="Heading3"/>
        <w:numPr>
          <w:ilvl w:val="0"/>
          <w:numId w:val="0"/>
        </w:numPr>
        <w:rPr>
          <w:color w:val="auto"/>
        </w:rPr>
      </w:pPr>
      <w:bookmarkStart w:id="110" w:name="_Toc186790754"/>
      <w:r w:rsidRPr="006F465E">
        <w:rPr>
          <w:color w:val="auto"/>
        </w:rPr>
        <w:t>4. Communication &amp; Training</w:t>
      </w:r>
      <w:bookmarkEnd w:id="110"/>
    </w:p>
    <w:p w14:paraId="2B70E951" w14:textId="77777777" w:rsidR="0040024C" w:rsidRPr="002D24FF" w:rsidRDefault="0040024C" w:rsidP="0040024C">
      <w:pPr>
        <w:pStyle w:val="ListParagraph"/>
        <w:numPr>
          <w:ilvl w:val="0"/>
          <w:numId w:val="9"/>
        </w:numPr>
        <w:rPr>
          <w:rFonts w:ascii="Calibri" w:hAnsi="Calibri" w:cs="Calibri"/>
        </w:rPr>
      </w:pPr>
      <w:r w:rsidRPr="002D24FF">
        <w:rPr>
          <w:rFonts w:ascii="Calibri" w:hAnsi="Calibri" w:cs="Calibri"/>
        </w:rPr>
        <w:t>Provide training sessions to local teams to ensure understanding and adherence to the adapted policy.</w:t>
      </w:r>
    </w:p>
    <w:p w14:paraId="25B39A66" w14:textId="77777777" w:rsidR="0040024C" w:rsidRPr="00687ACC" w:rsidRDefault="0040024C" w:rsidP="0040024C">
      <w:pPr>
        <w:pStyle w:val="ListParagraph"/>
        <w:numPr>
          <w:ilvl w:val="0"/>
          <w:numId w:val="9"/>
        </w:numPr>
        <w:rPr>
          <w:rFonts w:ascii="Calibri" w:hAnsi="Calibri" w:cs="Calibri"/>
          <w:b/>
          <w:bCs/>
          <w:sz w:val="28"/>
          <w:szCs w:val="28"/>
        </w:rPr>
      </w:pPr>
      <w:r w:rsidRPr="002D24FF">
        <w:rPr>
          <w:rFonts w:ascii="Calibri" w:hAnsi="Calibri" w:cs="Calibri"/>
        </w:rPr>
        <w:t>Communicate the rationale behind adaptations to promote consistency and buy-in across the organization.</w:t>
      </w:r>
    </w:p>
    <w:p w14:paraId="763709F4" w14:textId="77777777" w:rsidR="0040024C" w:rsidRPr="00AE28E3" w:rsidRDefault="0040024C" w:rsidP="0040024C">
      <w:pPr>
        <w:pStyle w:val="ListParagraph"/>
        <w:numPr>
          <w:ilvl w:val="0"/>
          <w:numId w:val="9"/>
        </w:numPr>
        <w:rPr>
          <w:rFonts w:ascii="Calibri" w:hAnsi="Calibri" w:cs="Calibri"/>
          <w:b/>
          <w:bCs/>
          <w:sz w:val="28"/>
          <w:szCs w:val="28"/>
        </w:rPr>
      </w:pPr>
      <w:r>
        <w:rPr>
          <w:rFonts w:ascii="Calibri" w:hAnsi="Calibri" w:cs="Calibri"/>
        </w:rPr>
        <w:t>Send final adaptation including approval signatures to Brinks Resource Library under Global Legal Policies</w:t>
      </w:r>
    </w:p>
    <w:p w14:paraId="3885B9BF" w14:textId="77777777" w:rsidR="0040024C" w:rsidRPr="00AE28E3" w:rsidRDefault="0040024C" w:rsidP="0040024C">
      <w:pPr>
        <w:pStyle w:val="ListParagraph"/>
        <w:rPr>
          <w:rFonts w:ascii="Calibri" w:hAnsi="Calibri" w:cs="Calibri"/>
          <w:b/>
          <w:bCs/>
          <w:sz w:val="28"/>
          <w:szCs w:val="28"/>
        </w:rPr>
      </w:pPr>
    </w:p>
    <w:p w14:paraId="7D33A1A2" w14:textId="77777777" w:rsidR="0040024C" w:rsidRPr="009A2E29" w:rsidRDefault="0040024C" w:rsidP="009A2E29">
      <w:pPr>
        <w:pStyle w:val="Heading3"/>
        <w:numPr>
          <w:ilvl w:val="0"/>
          <w:numId w:val="0"/>
        </w:numPr>
        <w:rPr>
          <w:color w:val="auto"/>
        </w:rPr>
      </w:pPr>
      <w:bookmarkStart w:id="111" w:name="_Toc186790755"/>
      <w:r w:rsidRPr="009A2E29">
        <w:rPr>
          <w:color w:val="auto"/>
        </w:rPr>
        <w:t>5. Monitoring &amp; Reporting</w:t>
      </w:r>
      <w:bookmarkEnd w:id="111"/>
    </w:p>
    <w:p w14:paraId="40CCCE78" w14:textId="77777777" w:rsidR="0040024C" w:rsidRDefault="0040024C" w:rsidP="0040024C">
      <w:pPr>
        <w:rPr>
          <w:rFonts w:ascii="Calibri" w:hAnsi="Calibri" w:cs="Calibri"/>
        </w:rPr>
      </w:pPr>
      <w:r>
        <w:rPr>
          <w:rFonts w:ascii="Calibri" w:hAnsi="Calibri" w:cs="Calibri"/>
        </w:rPr>
        <w:t>Establish regular reviews of the policy (minimum one time a year) to ensure:</w:t>
      </w:r>
    </w:p>
    <w:p w14:paraId="0C19ACEF" w14:textId="77777777" w:rsidR="0040024C" w:rsidRPr="0054752F" w:rsidRDefault="0040024C" w:rsidP="0040024C">
      <w:pPr>
        <w:pStyle w:val="ListParagraph"/>
        <w:numPr>
          <w:ilvl w:val="0"/>
          <w:numId w:val="9"/>
        </w:numPr>
        <w:rPr>
          <w:rFonts w:ascii="Calibri" w:hAnsi="Calibri" w:cs="Calibri"/>
        </w:rPr>
      </w:pPr>
      <w:r w:rsidRPr="0054752F">
        <w:rPr>
          <w:rFonts w:ascii="Calibri" w:hAnsi="Calibri" w:cs="Calibri"/>
        </w:rPr>
        <w:t>The adapted policy remains compliant with local and global standards.</w:t>
      </w:r>
    </w:p>
    <w:p w14:paraId="500C1069" w14:textId="77777777" w:rsidR="0040024C" w:rsidRPr="0054752F" w:rsidRDefault="0040024C" w:rsidP="0040024C">
      <w:pPr>
        <w:pStyle w:val="ListParagraph"/>
        <w:numPr>
          <w:ilvl w:val="0"/>
          <w:numId w:val="9"/>
        </w:numPr>
        <w:rPr>
          <w:rFonts w:ascii="Calibri" w:hAnsi="Calibri" w:cs="Calibri"/>
        </w:rPr>
      </w:pPr>
      <w:r w:rsidRPr="0054752F">
        <w:rPr>
          <w:rFonts w:ascii="Calibri" w:hAnsi="Calibri" w:cs="Calibri"/>
        </w:rPr>
        <w:t>Feedback from implementation is used to refine future adaptations.</w:t>
      </w:r>
    </w:p>
    <w:p w14:paraId="076E90CA" w14:textId="77777777" w:rsidR="0040024C" w:rsidRPr="0040024C" w:rsidRDefault="0040024C" w:rsidP="00DF21BE">
      <w:pPr>
        <w:rPr>
          <w:rFonts w:ascii="Calibri (heading)" w:hAnsi="Calibri (heading)"/>
        </w:rPr>
      </w:pPr>
    </w:p>
    <w:p w14:paraId="00C90FAA" w14:textId="77777777" w:rsidR="004E47E2" w:rsidRPr="008E5867" w:rsidRDefault="004E47E2" w:rsidP="00DF21BE">
      <w:pPr>
        <w:rPr>
          <w:rFonts w:ascii="Calibri (heading)" w:hAnsi="Calibri (heading)"/>
          <w:lang w:val="en-GB"/>
        </w:rPr>
      </w:pPr>
    </w:p>
    <w:sectPr w:rsidR="004E47E2" w:rsidRPr="008E5867" w:rsidSect="007061CA">
      <w:headerReference w:type="default" r:id="rId15"/>
      <w:footerReference w:type="default" r:id="rId16"/>
      <w:pgSz w:w="12240" w:h="15840"/>
      <w:pgMar w:top="1296" w:right="936" w:bottom="129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4111A" w14:textId="77777777" w:rsidR="00336AF3" w:rsidRDefault="00336AF3" w:rsidP="00F95615">
      <w:r>
        <w:separator/>
      </w:r>
    </w:p>
  </w:endnote>
  <w:endnote w:type="continuationSeparator" w:id="0">
    <w:p w14:paraId="40E44F85" w14:textId="77777777" w:rsidR="00336AF3" w:rsidRDefault="00336AF3" w:rsidP="00F95615">
      <w:r>
        <w:continuationSeparator/>
      </w:r>
    </w:p>
  </w:endnote>
  <w:endnote w:type="continuationNotice" w:id="1">
    <w:p w14:paraId="4873E5DB" w14:textId="77777777" w:rsidR="00336AF3" w:rsidRDefault="00336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heading)">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D01A6" w14:textId="0383DAD5" w:rsidR="007E02DB" w:rsidRPr="0088004E" w:rsidRDefault="007E02DB">
    <w:pPr>
      <w:pStyle w:val="Footer"/>
      <w:jc w:val="right"/>
      <w:rPr>
        <w:sz w:val="20"/>
      </w:rPr>
    </w:pPr>
    <w:r w:rsidRPr="0088004E">
      <w:rPr>
        <w:sz w:val="20"/>
      </w:rPr>
      <w:t xml:space="preserve">Page </w:t>
    </w:r>
    <w:sdt>
      <w:sdtPr>
        <w:rPr>
          <w:sz w:val="20"/>
        </w:rPr>
        <w:id w:val="151641675"/>
        <w:docPartObj>
          <w:docPartGallery w:val="Page Numbers (Bottom of Page)"/>
          <w:docPartUnique/>
        </w:docPartObj>
      </w:sdtPr>
      <w:sdtEndPr>
        <w:rPr>
          <w:noProof/>
        </w:rPr>
      </w:sdtEndPr>
      <w:sdtContent>
        <w:r w:rsidRPr="0088004E">
          <w:rPr>
            <w:sz w:val="20"/>
          </w:rPr>
          <w:fldChar w:fldCharType="begin"/>
        </w:r>
        <w:r w:rsidRPr="0088004E">
          <w:rPr>
            <w:sz w:val="20"/>
          </w:rPr>
          <w:instrText xml:space="preserve"> PAGE   \* MERGEFORMAT </w:instrText>
        </w:r>
        <w:r w:rsidRPr="0088004E">
          <w:rPr>
            <w:sz w:val="20"/>
          </w:rPr>
          <w:fldChar w:fldCharType="separate"/>
        </w:r>
        <w:r w:rsidR="00E612D3">
          <w:rPr>
            <w:noProof/>
            <w:sz w:val="20"/>
          </w:rPr>
          <w:t>3</w:t>
        </w:r>
        <w:r w:rsidRPr="0088004E">
          <w:rPr>
            <w:noProof/>
            <w:sz w:val="20"/>
          </w:rPr>
          <w:fldChar w:fldCharType="end"/>
        </w:r>
        <w:r w:rsidR="00337B8A">
          <w:rPr>
            <w:noProof/>
            <w:sz w:val="20"/>
          </w:rPr>
          <w:t xml:space="preserve"> of  </w:t>
        </w:r>
        <w:r w:rsidR="00CF6EE0">
          <w:rPr>
            <w:noProof/>
            <w:sz w:val="20"/>
          </w:rPr>
          <w:t>1</w:t>
        </w:r>
        <w:r w:rsidR="005B05D6">
          <w:rPr>
            <w:noProof/>
            <w:sz w:val="20"/>
          </w:rPr>
          <w:t>1</w:t>
        </w:r>
      </w:sdtContent>
    </w:sdt>
  </w:p>
  <w:p w14:paraId="1C3E890A" w14:textId="77777777" w:rsidR="007E02DB" w:rsidRPr="001169E2" w:rsidRDefault="007E02DB">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14FD4" w14:textId="77777777" w:rsidR="00336AF3" w:rsidRDefault="00336AF3" w:rsidP="00F95615">
      <w:r>
        <w:separator/>
      </w:r>
    </w:p>
  </w:footnote>
  <w:footnote w:type="continuationSeparator" w:id="0">
    <w:p w14:paraId="5915A14D" w14:textId="77777777" w:rsidR="00336AF3" w:rsidRDefault="00336AF3" w:rsidP="00F95615">
      <w:r>
        <w:continuationSeparator/>
      </w:r>
    </w:p>
  </w:footnote>
  <w:footnote w:type="continuationNotice" w:id="1">
    <w:p w14:paraId="1B89921D" w14:textId="77777777" w:rsidR="00336AF3" w:rsidRDefault="00336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4EA6" w14:textId="77777777" w:rsidR="001E016F" w:rsidRDefault="001E016F" w:rsidP="001E016F">
    <w:pPr>
      <w:pStyle w:val="Header"/>
      <w:jc w:val="right"/>
      <w:rPr>
        <w:sz w:val="20"/>
        <w:szCs w:val="19"/>
      </w:rPr>
    </w:pPr>
    <w:r>
      <w:rPr>
        <w:noProof/>
      </w:rPr>
      <w:drawing>
        <wp:inline distT="0" distB="0" distL="0" distR="0" wp14:anchorId="3D8A5882" wp14:editId="5B14B284">
          <wp:extent cx="1320800" cy="232663"/>
          <wp:effectExtent l="0" t="0" r="0" b="0"/>
          <wp:docPr id="1098455524" name="Picture 1" descr="A blue and black logo&#10;&#10;Description automatically generated">
            <a:extLst xmlns:a="http://schemas.openxmlformats.org/drawingml/2006/main">
              <a:ext uri="{FF2B5EF4-FFF2-40B4-BE49-F238E27FC236}">
                <a16:creationId xmlns:a16="http://schemas.microsoft.com/office/drawing/2014/main" id="{EB81F416-3C7F-4943-B65D-2128C1B55B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a:extLst>
                      <a:ext uri="{FF2B5EF4-FFF2-40B4-BE49-F238E27FC236}">
                        <a16:creationId xmlns:a16="http://schemas.microsoft.com/office/drawing/2014/main" id="{EB81F416-3C7F-4943-B65D-2128C1B55B9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756" cy="238116"/>
                  </a:xfrm>
                  <a:prstGeom prst="rect">
                    <a:avLst/>
                  </a:prstGeom>
                </pic:spPr>
              </pic:pic>
            </a:graphicData>
          </a:graphic>
        </wp:inline>
      </w:drawing>
    </w:r>
  </w:p>
  <w:p w14:paraId="2EED3F68" w14:textId="77777777" w:rsidR="001E016F" w:rsidRDefault="001E016F" w:rsidP="001E016F">
    <w:pPr>
      <w:pStyle w:val="Header"/>
      <w:jc w:val="right"/>
      <w:rPr>
        <w:sz w:val="20"/>
        <w:szCs w:val="19"/>
      </w:rPr>
    </w:pPr>
  </w:p>
  <w:p w14:paraId="058BA07C" w14:textId="6FC3B0F0" w:rsidR="007E02DB" w:rsidRPr="0051357C" w:rsidRDefault="00A116FD" w:rsidP="001E016F">
    <w:pPr>
      <w:pStyle w:val="Header"/>
      <w:jc w:val="right"/>
      <w:rPr>
        <w:rFonts w:asciiTheme="majorHAnsi" w:hAnsiTheme="majorHAnsi" w:cstheme="majorHAnsi"/>
        <w:sz w:val="20"/>
        <w:szCs w:val="19"/>
      </w:rPr>
    </w:pPr>
    <w:r w:rsidRPr="0051357C">
      <w:rPr>
        <w:rFonts w:asciiTheme="majorHAnsi" w:hAnsiTheme="majorHAnsi" w:cstheme="majorHAnsi"/>
        <w:sz w:val="20"/>
        <w:szCs w:val="19"/>
      </w:rPr>
      <w:t xml:space="preserve">Global </w:t>
    </w:r>
    <w:r w:rsidR="009701D2">
      <w:rPr>
        <w:rFonts w:asciiTheme="majorHAnsi" w:hAnsiTheme="majorHAnsi" w:cstheme="majorHAnsi"/>
        <w:sz w:val="20"/>
        <w:szCs w:val="19"/>
      </w:rPr>
      <w:t>Contingent Workforce</w:t>
    </w:r>
    <w:r w:rsidRPr="0051357C">
      <w:rPr>
        <w:rFonts w:asciiTheme="majorHAnsi" w:hAnsiTheme="majorHAnsi" w:cstheme="majorHAnsi"/>
        <w:sz w:val="20"/>
        <w:szCs w:val="19"/>
      </w:rPr>
      <w:t xml:space="preserve"> Policy</w:t>
    </w:r>
    <w:r w:rsidR="00312760" w:rsidRPr="0051357C">
      <w:rPr>
        <w:rFonts w:asciiTheme="majorHAnsi" w:hAnsiTheme="majorHAnsi" w:cstheme="majorHAnsi"/>
        <w:sz w:val="20"/>
        <w:szCs w:val="19"/>
      </w:rPr>
      <w:t xml:space="preserve"> </w:t>
    </w:r>
  </w:p>
  <w:p w14:paraId="143757F2" w14:textId="680FB43D" w:rsidR="00ED0664" w:rsidRPr="0051357C" w:rsidRDefault="00312760" w:rsidP="0088004E">
    <w:pPr>
      <w:pStyle w:val="Header"/>
      <w:jc w:val="right"/>
      <w:rPr>
        <w:rFonts w:asciiTheme="majorHAnsi" w:hAnsiTheme="majorHAnsi" w:cstheme="majorHAnsi"/>
        <w:sz w:val="19"/>
        <w:szCs w:val="19"/>
      </w:rPr>
    </w:pPr>
    <w:r w:rsidRPr="0051357C">
      <w:rPr>
        <w:rFonts w:asciiTheme="majorHAnsi" w:hAnsiTheme="majorHAnsi" w:cstheme="majorHAnsi"/>
        <w:sz w:val="20"/>
        <w:szCs w:val="19"/>
      </w:rPr>
      <w:t xml:space="preserve">Last </w:t>
    </w:r>
    <w:r w:rsidR="00C97660">
      <w:rPr>
        <w:rFonts w:asciiTheme="majorHAnsi" w:hAnsiTheme="majorHAnsi" w:cstheme="majorHAnsi"/>
        <w:sz w:val="20"/>
        <w:szCs w:val="19"/>
      </w:rPr>
      <w:t>revision</w:t>
    </w:r>
    <w:r w:rsidRPr="0051357C">
      <w:rPr>
        <w:rFonts w:asciiTheme="majorHAnsi" w:hAnsiTheme="majorHAnsi" w:cstheme="majorHAnsi"/>
        <w:sz w:val="20"/>
        <w:szCs w:val="19"/>
      </w:rPr>
      <w:t xml:space="preserve">: </w:t>
    </w:r>
    <w:r w:rsidR="00A96CF2">
      <w:rPr>
        <w:rFonts w:asciiTheme="majorHAnsi" w:hAnsiTheme="majorHAnsi" w:cstheme="majorHAnsi"/>
        <w:sz w:val="20"/>
        <w:szCs w:val="19"/>
      </w:rPr>
      <w:t>December</w:t>
    </w:r>
    <w:r w:rsidR="00300A55">
      <w:rPr>
        <w:rFonts w:asciiTheme="majorHAnsi" w:hAnsiTheme="majorHAnsi" w:cstheme="majorHAnsi"/>
        <w:sz w:val="20"/>
        <w:szCs w:val="19"/>
      </w:rPr>
      <w:t xml:space="preserve"> </w:t>
    </w:r>
    <w:r w:rsidR="00A96CF2">
      <w:rPr>
        <w:rFonts w:asciiTheme="majorHAnsi" w:hAnsiTheme="majorHAnsi" w:cstheme="majorHAnsi"/>
        <w:sz w:val="20"/>
        <w:szCs w:val="19"/>
      </w:rPr>
      <w:t>2</w:t>
    </w:r>
    <w:r w:rsidR="000B5B33" w:rsidRPr="0051357C">
      <w:rPr>
        <w:rFonts w:asciiTheme="majorHAnsi" w:hAnsiTheme="majorHAnsi" w:cstheme="majorHAnsi"/>
        <w:sz w:val="20"/>
        <w:szCs w:val="19"/>
      </w:rPr>
      <w:t>, 202</w:t>
    </w:r>
    <w:r w:rsidR="00A96CF2">
      <w:rPr>
        <w:rFonts w:asciiTheme="majorHAnsi" w:hAnsiTheme="majorHAnsi" w:cstheme="majorHAnsi"/>
        <w:sz w:val="20"/>
        <w:szCs w:val="19"/>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42FB2"/>
    <w:multiLevelType w:val="singleLevel"/>
    <w:tmpl w:val="EDB6F554"/>
    <w:lvl w:ilvl="0">
      <w:start w:val="1"/>
      <w:numFmt w:val="bullet"/>
      <w:pStyle w:val="TableBullet"/>
      <w:lvlText w:val=""/>
      <w:lvlJc w:val="left"/>
      <w:pPr>
        <w:tabs>
          <w:tab w:val="num" w:pos="360"/>
        </w:tabs>
        <w:ind w:left="360" w:hanging="360"/>
      </w:pPr>
      <w:rPr>
        <w:rFonts w:ascii="Symbol" w:hAnsi="Symbol" w:hint="default"/>
      </w:rPr>
    </w:lvl>
  </w:abstractNum>
  <w:abstractNum w:abstractNumId="1" w15:restartNumberingAfterBreak="0">
    <w:nsid w:val="2CA61E32"/>
    <w:multiLevelType w:val="multilevel"/>
    <w:tmpl w:val="5FC2FE70"/>
    <w:lvl w:ilvl="0">
      <w:start w:val="1"/>
      <w:numFmt w:val="upperRoman"/>
      <w:pStyle w:val="Heading1"/>
      <w:lvlText w:val="%1."/>
      <w:lvlJc w:val="left"/>
      <w:pPr>
        <w:ind w:left="0" w:firstLine="0"/>
      </w:pPr>
    </w:lvl>
    <w:lvl w:ilvl="1">
      <w:start w:val="1"/>
      <w:numFmt w:val="upperLetter"/>
      <w:pStyle w:val="Heading2"/>
      <w:lvlText w:val="%2."/>
      <w:lvlJc w:val="left"/>
      <w:pPr>
        <w:ind w:left="27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0E322D9"/>
    <w:multiLevelType w:val="hybridMultilevel"/>
    <w:tmpl w:val="25C412C0"/>
    <w:lvl w:ilvl="0" w:tplc="04090001">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AC3FD3"/>
    <w:multiLevelType w:val="multilevel"/>
    <w:tmpl w:val="A73E6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A73CE"/>
    <w:multiLevelType w:val="hybridMultilevel"/>
    <w:tmpl w:val="3B0CAACA"/>
    <w:lvl w:ilvl="0" w:tplc="C2025DC8">
      <w:start w:val="1"/>
      <w:numFmt w:val="bullet"/>
      <w:lvlText w:val=""/>
      <w:lvlJc w:val="left"/>
      <w:pPr>
        <w:tabs>
          <w:tab w:val="num" w:pos="360"/>
        </w:tabs>
        <w:ind w:left="360" w:hanging="360"/>
      </w:pPr>
      <w:rPr>
        <w:rFonts w:ascii="Wingdings" w:hAnsi="Wingdings" w:hint="default"/>
        <w:color w:val="auto"/>
      </w:rPr>
    </w:lvl>
    <w:lvl w:ilvl="1" w:tplc="9EDCC93C">
      <w:start w:val="1"/>
      <w:numFmt w:val="bullet"/>
      <w:pStyle w:val="TableBullet2"/>
      <w:lvlText w:val="o"/>
      <w:lvlJc w:val="left"/>
      <w:pPr>
        <w:tabs>
          <w:tab w:val="num" w:pos="1080"/>
        </w:tabs>
        <w:ind w:left="1080" w:hanging="360"/>
      </w:pPr>
      <w:rPr>
        <w:rFonts w:ascii="Courier New" w:hAnsi="Courier New" w:hint="default"/>
      </w:rPr>
    </w:lvl>
    <w:lvl w:ilvl="2" w:tplc="E9CCB576">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3FE2933"/>
    <w:multiLevelType w:val="multilevel"/>
    <w:tmpl w:val="9F341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90FE9"/>
    <w:multiLevelType w:val="hybridMultilevel"/>
    <w:tmpl w:val="29AE5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DA5158"/>
    <w:multiLevelType w:val="multilevel"/>
    <w:tmpl w:val="CDD28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AF1601"/>
    <w:multiLevelType w:val="hybridMultilevel"/>
    <w:tmpl w:val="C06A2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E5C92"/>
    <w:multiLevelType w:val="hybridMultilevel"/>
    <w:tmpl w:val="21E6B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06315">
    <w:abstractNumId w:val="1"/>
  </w:num>
  <w:num w:numId="2" w16cid:durableId="833422572">
    <w:abstractNumId w:val="2"/>
  </w:num>
  <w:num w:numId="3" w16cid:durableId="1530724566">
    <w:abstractNumId w:val="0"/>
  </w:num>
  <w:num w:numId="4" w16cid:durableId="622612259">
    <w:abstractNumId w:val="4"/>
  </w:num>
  <w:num w:numId="5" w16cid:durableId="1320580023">
    <w:abstractNumId w:val="9"/>
  </w:num>
  <w:num w:numId="6" w16cid:durableId="354305395">
    <w:abstractNumId w:val="6"/>
  </w:num>
  <w:num w:numId="7" w16cid:durableId="1235820858">
    <w:abstractNumId w:val="8"/>
  </w:num>
  <w:num w:numId="8" w16cid:durableId="630596391">
    <w:abstractNumId w:val="3"/>
  </w:num>
  <w:num w:numId="9" w16cid:durableId="1134447496">
    <w:abstractNumId w:val="5"/>
  </w:num>
  <w:num w:numId="10" w16cid:durableId="110896510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49"/>
    <w:rsid w:val="000011CB"/>
    <w:rsid w:val="00001A42"/>
    <w:rsid w:val="000025F7"/>
    <w:rsid w:val="00002B1A"/>
    <w:rsid w:val="00002C66"/>
    <w:rsid w:val="00003CA9"/>
    <w:rsid w:val="00005666"/>
    <w:rsid w:val="00006E5C"/>
    <w:rsid w:val="0001014C"/>
    <w:rsid w:val="000104AC"/>
    <w:rsid w:val="00011460"/>
    <w:rsid w:val="000117B6"/>
    <w:rsid w:val="00013616"/>
    <w:rsid w:val="000200EC"/>
    <w:rsid w:val="0002212F"/>
    <w:rsid w:val="00023788"/>
    <w:rsid w:val="00024885"/>
    <w:rsid w:val="00026127"/>
    <w:rsid w:val="00026C0F"/>
    <w:rsid w:val="00026F3C"/>
    <w:rsid w:val="00027249"/>
    <w:rsid w:val="00031E43"/>
    <w:rsid w:val="000322A9"/>
    <w:rsid w:val="00034769"/>
    <w:rsid w:val="000439D5"/>
    <w:rsid w:val="000447EA"/>
    <w:rsid w:val="00044C3A"/>
    <w:rsid w:val="00044CB4"/>
    <w:rsid w:val="0004799F"/>
    <w:rsid w:val="00050326"/>
    <w:rsid w:val="00050B4B"/>
    <w:rsid w:val="00051864"/>
    <w:rsid w:val="0005274B"/>
    <w:rsid w:val="00052988"/>
    <w:rsid w:val="00054CEE"/>
    <w:rsid w:val="00054CF0"/>
    <w:rsid w:val="000561C5"/>
    <w:rsid w:val="00056AE1"/>
    <w:rsid w:val="00056E23"/>
    <w:rsid w:val="0005720D"/>
    <w:rsid w:val="0006222E"/>
    <w:rsid w:val="0006239C"/>
    <w:rsid w:val="00062867"/>
    <w:rsid w:val="00064428"/>
    <w:rsid w:val="0006452C"/>
    <w:rsid w:val="00066023"/>
    <w:rsid w:val="00066940"/>
    <w:rsid w:val="000679BE"/>
    <w:rsid w:val="000710A9"/>
    <w:rsid w:val="00072C53"/>
    <w:rsid w:val="0007518F"/>
    <w:rsid w:val="0007629F"/>
    <w:rsid w:val="000776D0"/>
    <w:rsid w:val="00080AEA"/>
    <w:rsid w:val="000815AD"/>
    <w:rsid w:val="00082C0F"/>
    <w:rsid w:val="0008480B"/>
    <w:rsid w:val="0009048A"/>
    <w:rsid w:val="00090EDB"/>
    <w:rsid w:val="00091223"/>
    <w:rsid w:val="0009220E"/>
    <w:rsid w:val="00092D40"/>
    <w:rsid w:val="000942C3"/>
    <w:rsid w:val="00095503"/>
    <w:rsid w:val="00095A11"/>
    <w:rsid w:val="00096E98"/>
    <w:rsid w:val="00097E3B"/>
    <w:rsid w:val="000B0510"/>
    <w:rsid w:val="000B1113"/>
    <w:rsid w:val="000B12A2"/>
    <w:rsid w:val="000B581D"/>
    <w:rsid w:val="000B5B33"/>
    <w:rsid w:val="000B5DEA"/>
    <w:rsid w:val="000B6CBA"/>
    <w:rsid w:val="000B76B4"/>
    <w:rsid w:val="000C1CF9"/>
    <w:rsid w:val="000C1FED"/>
    <w:rsid w:val="000C4BEC"/>
    <w:rsid w:val="000D196D"/>
    <w:rsid w:val="000D597D"/>
    <w:rsid w:val="000D7B33"/>
    <w:rsid w:val="000E19B5"/>
    <w:rsid w:val="000E1C2A"/>
    <w:rsid w:val="000E236C"/>
    <w:rsid w:val="000E6635"/>
    <w:rsid w:val="000E6BF3"/>
    <w:rsid w:val="000E7031"/>
    <w:rsid w:val="000E7A75"/>
    <w:rsid w:val="000F22CB"/>
    <w:rsid w:val="000F2F10"/>
    <w:rsid w:val="000F4767"/>
    <w:rsid w:val="000F4D50"/>
    <w:rsid w:val="000F50AF"/>
    <w:rsid w:val="000F66A3"/>
    <w:rsid w:val="000F7303"/>
    <w:rsid w:val="000F7428"/>
    <w:rsid w:val="000F7575"/>
    <w:rsid w:val="000F7F75"/>
    <w:rsid w:val="0010215A"/>
    <w:rsid w:val="00104665"/>
    <w:rsid w:val="00104C28"/>
    <w:rsid w:val="0010659C"/>
    <w:rsid w:val="001112FA"/>
    <w:rsid w:val="00111D7A"/>
    <w:rsid w:val="00113941"/>
    <w:rsid w:val="0011636F"/>
    <w:rsid w:val="00116492"/>
    <w:rsid w:val="001169E2"/>
    <w:rsid w:val="00117AF6"/>
    <w:rsid w:val="001201E3"/>
    <w:rsid w:val="00120E55"/>
    <w:rsid w:val="001223DD"/>
    <w:rsid w:val="001223E3"/>
    <w:rsid w:val="00122AF6"/>
    <w:rsid w:val="0012377B"/>
    <w:rsid w:val="00125E68"/>
    <w:rsid w:val="001274CE"/>
    <w:rsid w:val="0012791A"/>
    <w:rsid w:val="0013134C"/>
    <w:rsid w:val="00133080"/>
    <w:rsid w:val="00134168"/>
    <w:rsid w:val="00134918"/>
    <w:rsid w:val="00135945"/>
    <w:rsid w:val="00141344"/>
    <w:rsid w:val="00141A2C"/>
    <w:rsid w:val="00142B9D"/>
    <w:rsid w:val="001430E4"/>
    <w:rsid w:val="00145D5C"/>
    <w:rsid w:val="001461E2"/>
    <w:rsid w:val="00146F74"/>
    <w:rsid w:val="00147AE9"/>
    <w:rsid w:val="00150609"/>
    <w:rsid w:val="00150C9D"/>
    <w:rsid w:val="00153EA4"/>
    <w:rsid w:val="001542E6"/>
    <w:rsid w:val="001551A5"/>
    <w:rsid w:val="0015669C"/>
    <w:rsid w:val="00157F69"/>
    <w:rsid w:val="001606B6"/>
    <w:rsid w:val="00160996"/>
    <w:rsid w:val="00160C8F"/>
    <w:rsid w:val="00161E4F"/>
    <w:rsid w:val="0016204C"/>
    <w:rsid w:val="00162A8C"/>
    <w:rsid w:val="00163A6C"/>
    <w:rsid w:val="00165268"/>
    <w:rsid w:val="00165A27"/>
    <w:rsid w:val="0017056B"/>
    <w:rsid w:val="00170A83"/>
    <w:rsid w:val="001725ED"/>
    <w:rsid w:val="00172A19"/>
    <w:rsid w:val="00172C99"/>
    <w:rsid w:val="00173781"/>
    <w:rsid w:val="00175B1D"/>
    <w:rsid w:val="00177EE1"/>
    <w:rsid w:val="0018244F"/>
    <w:rsid w:val="00182AC1"/>
    <w:rsid w:val="00183AC5"/>
    <w:rsid w:val="00183C98"/>
    <w:rsid w:val="00184BDA"/>
    <w:rsid w:val="00186E34"/>
    <w:rsid w:val="001871C6"/>
    <w:rsid w:val="00190B85"/>
    <w:rsid w:val="00190D8A"/>
    <w:rsid w:val="0019196A"/>
    <w:rsid w:val="001920E8"/>
    <w:rsid w:val="001928DE"/>
    <w:rsid w:val="0019688D"/>
    <w:rsid w:val="001A08E9"/>
    <w:rsid w:val="001A1A27"/>
    <w:rsid w:val="001A1F7D"/>
    <w:rsid w:val="001A2505"/>
    <w:rsid w:val="001A3173"/>
    <w:rsid w:val="001A527A"/>
    <w:rsid w:val="001A5AC0"/>
    <w:rsid w:val="001A7AA9"/>
    <w:rsid w:val="001B147D"/>
    <w:rsid w:val="001B198B"/>
    <w:rsid w:val="001B20A3"/>
    <w:rsid w:val="001B22E4"/>
    <w:rsid w:val="001B2962"/>
    <w:rsid w:val="001B369F"/>
    <w:rsid w:val="001B413B"/>
    <w:rsid w:val="001B55D7"/>
    <w:rsid w:val="001B74E4"/>
    <w:rsid w:val="001C22CD"/>
    <w:rsid w:val="001C4271"/>
    <w:rsid w:val="001C45C6"/>
    <w:rsid w:val="001C4B8D"/>
    <w:rsid w:val="001C5E7D"/>
    <w:rsid w:val="001C65FA"/>
    <w:rsid w:val="001C66EF"/>
    <w:rsid w:val="001C7BEC"/>
    <w:rsid w:val="001D049B"/>
    <w:rsid w:val="001D10BB"/>
    <w:rsid w:val="001D2A5E"/>
    <w:rsid w:val="001D3B25"/>
    <w:rsid w:val="001D455C"/>
    <w:rsid w:val="001E016F"/>
    <w:rsid w:val="001E5866"/>
    <w:rsid w:val="001E785E"/>
    <w:rsid w:val="001F096A"/>
    <w:rsid w:val="001F184D"/>
    <w:rsid w:val="001F1AF3"/>
    <w:rsid w:val="001F1C3B"/>
    <w:rsid w:val="001F1C9A"/>
    <w:rsid w:val="001F296D"/>
    <w:rsid w:val="001F2EE5"/>
    <w:rsid w:val="001F46CB"/>
    <w:rsid w:val="001F5235"/>
    <w:rsid w:val="001F5D85"/>
    <w:rsid w:val="001F62AF"/>
    <w:rsid w:val="001F68D2"/>
    <w:rsid w:val="002000DC"/>
    <w:rsid w:val="002007A3"/>
    <w:rsid w:val="00202563"/>
    <w:rsid w:val="00202823"/>
    <w:rsid w:val="0020484F"/>
    <w:rsid w:val="0020592B"/>
    <w:rsid w:val="00207100"/>
    <w:rsid w:val="00210416"/>
    <w:rsid w:val="002131B9"/>
    <w:rsid w:val="0021425F"/>
    <w:rsid w:val="002159B2"/>
    <w:rsid w:val="0022318B"/>
    <w:rsid w:val="0022371B"/>
    <w:rsid w:val="00224604"/>
    <w:rsid w:val="00224AB6"/>
    <w:rsid w:val="00227034"/>
    <w:rsid w:val="00230933"/>
    <w:rsid w:val="00230BDB"/>
    <w:rsid w:val="00232C1C"/>
    <w:rsid w:val="00233342"/>
    <w:rsid w:val="002333FF"/>
    <w:rsid w:val="0023407D"/>
    <w:rsid w:val="00237960"/>
    <w:rsid w:val="00237CA9"/>
    <w:rsid w:val="002417BE"/>
    <w:rsid w:val="00242FA4"/>
    <w:rsid w:val="002436BF"/>
    <w:rsid w:val="002467C6"/>
    <w:rsid w:val="002512BF"/>
    <w:rsid w:val="00255ABC"/>
    <w:rsid w:val="00260249"/>
    <w:rsid w:val="00262C88"/>
    <w:rsid w:val="00263999"/>
    <w:rsid w:val="00263CCA"/>
    <w:rsid w:val="00263DCC"/>
    <w:rsid w:val="00264C83"/>
    <w:rsid w:val="00264FCD"/>
    <w:rsid w:val="00265B75"/>
    <w:rsid w:val="00266484"/>
    <w:rsid w:val="002700AE"/>
    <w:rsid w:val="00276EF9"/>
    <w:rsid w:val="00277653"/>
    <w:rsid w:val="002821D0"/>
    <w:rsid w:val="00282DB4"/>
    <w:rsid w:val="00283D51"/>
    <w:rsid w:val="00284EB2"/>
    <w:rsid w:val="00286115"/>
    <w:rsid w:val="00286765"/>
    <w:rsid w:val="00286F56"/>
    <w:rsid w:val="0028735B"/>
    <w:rsid w:val="00292F5A"/>
    <w:rsid w:val="002938A5"/>
    <w:rsid w:val="00293F96"/>
    <w:rsid w:val="00296678"/>
    <w:rsid w:val="00297D78"/>
    <w:rsid w:val="00297E29"/>
    <w:rsid w:val="002A0774"/>
    <w:rsid w:val="002A0F0C"/>
    <w:rsid w:val="002A6543"/>
    <w:rsid w:val="002A708C"/>
    <w:rsid w:val="002A7F64"/>
    <w:rsid w:val="002B025A"/>
    <w:rsid w:val="002B0A60"/>
    <w:rsid w:val="002B1263"/>
    <w:rsid w:val="002B28DC"/>
    <w:rsid w:val="002B29E4"/>
    <w:rsid w:val="002B3CEE"/>
    <w:rsid w:val="002B5B85"/>
    <w:rsid w:val="002B63CF"/>
    <w:rsid w:val="002B6672"/>
    <w:rsid w:val="002C0CA7"/>
    <w:rsid w:val="002C2C1A"/>
    <w:rsid w:val="002C33BB"/>
    <w:rsid w:val="002C35B9"/>
    <w:rsid w:val="002C3705"/>
    <w:rsid w:val="002C7FAC"/>
    <w:rsid w:val="002D03F2"/>
    <w:rsid w:val="002D38EF"/>
    <w:rsid w:val="002E0C75"/>
    <w:rsid w:val="002E30B6"/>
    <w:rsid w:val="002E64CA"/>
    <w:rsid w:val="002F1868"/>
    <w:rsid w:val="002F197E"/>
    <w:rsid w:val="002F2B5A"/>
    <w:rsid w:val="002F492E"/>
    <w:rsid w:val="002F574B"/>
    <w:rsid w:val="002F653D"/>
    <w:rsid w:val="002F6EC9"/>
    <w:rsid w:val="00300A55"/>
    <w:rsid w:val="0030142F"/>
    <w:rsid w:val="00302253"/>
    <w:rsid w:val="00302EF9"/>
    <w:rsid w:val="003062AD"/>
    <w:rsid w:val="00310619"/>
    <w:rsid w:val="0031176B"/>
    <w:rsid w:val="00312760"/>
    <w:rsid w:val="00314945"/>
    <w:rsid w:val="003150EE"/>
    <w:rsid w:val="003155B3"/>
    <w:rsid w:val="003156D4"/>
    <w:rsid w:val="0031699E"/>
    <w:rsid w:val="003206D4"/>
    <w:rsid w:val="0032378E"/>
    <w:rsid w:val="00324706"/>
    <w:rsid w:val="00325329"/>
    <w:rsid w:val="003269DF"/>
    <w:rsid w:val="003274CF"/>
    <w:rsid w:val="00330E2B"/>
    <w:rsid w:val="003317A5"/>
    <w:rsid w:val="00336AF3"/>
    <w:rsid w:val="00337B8A"/>
    <w:rsid w:val="003402B5"/>
    <w:rsid w:val="00341C43"/>
    <w:rsid w:val="00341F30"/>
    <w:rsid w:val="00342E56"/>
    <w:rsid w:val="00343072"/>
    <w:rsid w:val="00344F46"/>
    <w:rsid w:val="003464B7"/>
    <w:rsid w:val="003467A7"/>
    <w:rsid w:val="00351036"/>
    <w:rsid w:val="003516EF"/>
    <w:rsid w:val="00351972"/>
    <w:rsid w:val="00355B9F"/>
    <w:rsid w:val="0035609A"/>
    <w:rsid w:val="00362993"/>
    <w:rsid w:val="0036756B"/>
    <w:rsid w:val="00371264"/>
    <w:rsid w:val="00371B0A"/>
    <w:rsid w:val="00372EEF"/>
    <w:rsid w:val="0037353F"/>
    <w:rsid w:val="003802B6"/>
    <w:rsid w:val="003823C8"/>
    <w:rsid w:val="00383254"/>
    <w:rsid w:val="0038394D"/>
    <w:rsid w:val="00385EBC"/>
    <w:rsid w:val="00386D47"/>
    <w:rsid w:val="00387FBE"/>
    <w:rsid w:val="0039343D"/>
    <w:rsid w:val="00396A87"/>
    <w:rsid w:val="003971DC"/>
    <w:rsid w:val="00397CE9"/>
    <w:rsid w:val="00397D67"/>
    <w:rsid w:val="00397E2E"/>
    <w:rsid w:val="003A1B39"/>
    <w:rsid w:val="003A36E4"/>
    <w:rsid w:val="003A3A91"/>
    <w:rsid w:val="003A3DE7"/>
    <w:rsid w:val="003A5F43"/>
    <w:rsid w:val="003A6BF9"/>
    <w:rsid w:val="003B0A0F"/>
    <w:rsid w:val="003B1541"/>
    <w:rsid w:val="003B208A"/>
    <w:rsid w:val="003B2A40"/>
    <w:rsid w:val="003B7F5A"/>
    <w:rsid w:val="003C1B08"/>
    <w:rsid w:val="003C29C4"/>
    <w:rsid w:val="003C573A"/>
    <w:rsid w:val="003C6DC6"/>
    <w:rsid w:val="003D042A"/>
    <w:rsid w:val="003D1483"/>
    <w:rsid w:val="003D39A5"/>
    <w:rsid w:val="003D5CC6"/>
    <w:rsid w:val="003E06C9"/>
    <w:rsid w:val="003E17FD"/>
    <w:rsid w:val="003E225E"/>
    <w:rsid w:val="003E273A"/>
    <w:rsid w:val="003E3254"/>
    <w:rsid w:val="003E3331"/>
    <w:rsid w:val="003E42B9"/>
    <w:rsid w:val="003E512C"/>
    <w:rsid w:val="003E5880"/>
    <w:rsid w:val="003E5A2B"/>
    <w:rsid w:val="003E6A16"/>
    <w:rsid w:val="003E6CBD"/>
    <w:rsid w:val="003E76ED"/>
    <w:rsid w:val="003F0DC7"/>
    <w:rsid w:val="003F1542"/>
    <w:rsid w:val="003F1B5B"/>
    <w:rsid w:val="003F2301"/>
    <w:rsid w:val="003F41A5"/>
    <w:rsid w:val="0040024C"/>
    <w:rsid w:val="00400C2C"/>
    <w:rsid w:val="004023BB"/>
    <w:rsid w:val="00403E4C"/>
    <w:rsid w:val="00404289"/>
    <w:rsid w:val="004046AB"/>
    <w:rsid w:val="00405601"/>
    <w:rsid w:val="00411C64"/>
    <w:rsid w:val="0041224D"/>
    <w:rsid w:val="00412588"/>
    <w:rsid w:val="00413753"/>
    <w:rsid w:val="00415E01"/>
    <w:rsid w:val="0041602C"/>
    <w:rsid w:val="00416D23"/>
    <w:rsid w:val="00417648"/>
    <w:rsid w:val="004208EF"/>
    <w:rsid w:val="00423067"/>
    <w:rsid w:val="0042543F"/>
    <w:rsid w:val="0042629E"/>
    <w:rsid w:val="004302F0"/>
    <w:rsid w:val="004338BB"/>
    <w:rsid w:val="00434957"/>
    <w:rsid w:val="00434A35"/>
    <w:rsid w:val="004358EB"/>
    <w:rsid w:val="00436361"/>
    <w:rsid w:val="00437028"/>
    <w:rsid w:val="004377E9"/>
    <w:rsid w:val="004458A4"/>
    <w:rsid w:val="0044697D"/>
    <w:rsid w:val="00447C59"/>
    <w:rsid w:val="00450420"/>
    <w:rsid w:val="00450879"/>
    <w:rsid w:val="00454939"/>
    <w:rsid w:val="00455443"/>
    <w:rsid w:val="00455ADA"/>
    <w:rsid w:val="00456429"/>
    <w:rsid w:val="0045642A"/>
    <w:rsid w:val="0045678D"/>
    <w:rsid w:val="004613FB"/>
    <w:rsid w:val="00462060"/>
    <w:rsid w:val="00463DFF"/>
    <w:rsid w:val="00466372"/>
    <w:rsid w:val="0046641F"/>
    <w:rsid w:val="00466E01"/>
    <w:rsid w:val="00472400"/>
    <w:rsid w:val="00472540"/>
    <w:rsid w:val="00473D03"/>
    <w:rsid w:val="00473E97"/>
    <w:rsid w:val="00474738"/>
    <w:rsid w:val="00476B26"/>
    <w:rsid w:val="00476DD2"/>
    <w:rsid w:val="00476F68"/>
    <w:rsid w:val="00480403"/>
    <w:rsid w:val="00484EE0"/>
    <w:rsid w:val="00486C1F"/>
    <w:rsid w:val="00487DC9"/>
    <w:rsid w:val="00492943"/>
    <w:rsid w:val="00493EF2"/>
    <w:rsid w:val="00494746"/>
    <w:rsid w:val="00497784"/>
    <w:rsid w:val="004A040D"/>
    <w:rsid w:val="004A4C3B"/>
    <w:rsid w:val="004A4CB9"/>
    <w:rsid w:val="004A5882"/>
    <w:rsid w:val="004A5981"/>
    <w:rsid w:val="004A5ABA"/>
    <w:rsid w:val="004B1841"/>
    <w:rsid w:val="004B21AF"/>
    <w:rsid w:val="004B3BF1"/>
    <w:rsid w:val="004B59AE"/>
    <w:rsid w:val="004B5AA2"/>
    <w:rsid w:val="004B6DE1"/>
    <w:rsid w:val="004B7753"/>
    <w:rsid w:val="004B7B87"/>
    <w:rsid w:val="004C249C"/>
    <w:rsid w:val="004C5231"/>
    <w:rsid w:val="004C6A30"/>
    <w:rsid w:val="004C6D39"/>
    <w:rsid w:val="004C72DD"/>
    <w:rsid w:val="004C7E19"/>
    <w:rsid w:val="004D1001"/>
    <w:rsid w:val="004D11EA"/>
    <w:rsid w:val="004D1F4E"/>
    <w:rsid w:val="004D4194"/>
    <w:rsid w:val="004D4440"/>
    <w:rsid w:val="004D6016"/>
    <w:rsid w:val="004D6BF1"/>
    <w:rsid w:val="004D7210"/>
    <w:rsid w:val="004E2545"/>
    <w:rsid w:val="004E33A8"/>
    <w:rsid w:val="004E3427"/>
    <w:rsid w:val="004E3658"/>
    <w:rsid w:val="004E47E2"/>
    <w:rsid w:val="004E4EAB"/>
    <w:rsid w:val="004E6945"/>
    <w:rsid w:val="004E717E"/>
    <w:rsid w:val="004E749B"/>
    <w:rsid w:val="004E78F9"/>
    <w:rsid w:val="004F0C57"/>
    <w:rsid w:val="004F2E81"/>
    <w:rsid w:val="005004B6"/>
    <w:rsid w:val="005004BB"/>
    <w:rsid w:val="0050147B"/>
    <w:rsid w:val="00505D00"/>
    <w:rsid w:val="0050667B"/>
    <w:rsid w:val="00511372"/>
    <w:rsid w:val="0051357C"/>
    <w:rsid w:val="00516807"/>
    <w:rsid w:val="00517480"/>
    <w:rsid w:val="0052006D"/>
    <w:rsid w:val="00522C55"/>
    <w:rsid w:val="00523910"/>
    <w:rsid w:val="00524EB4"/>
    <w:rsid w:val="00524F72"/>
    <w:rsid w:val="00525081"/>
    <w:rsid w:val="00526800"/>
    <w:rsid w:val="00526C68"/>
    <w:rsid w:val="005308D4"/>
    <w:rsid w:val="00532007"/>
    <w:rsid w:val="005337EA"/>
    <w:rsid w:val="00535770"/>
    <w:rsid w:val="00536297"/>
    <w:rsid w:val="00536529"/>
    <w:rsid w:val="005367ED"/>
    <w:rsid w:val="00542714"/>
    <w:rsid w:val="0054385E"/>
    <w:rsid w:val="00544B6A"/>
    <w:rsid w:val="00544C25"/>
    <w:rsid w:val="005454F8"/>
    <w:rsid w:val="00547358"/>
    <w:rsid w:val="00553878"/>
    <w:rsid w:val="00553BC8"/>
    <w:rsid w:val="0055536A"/>
    <w:rsid w:val="0055735A"/>
    <w:rsid w:val="00567127"/>
    <w:rsid w:val="00570203"/>
    <w:rsid w:val="00571DAC"/>
    <w:rsid w:val="00574085"/>
    <w:rsid w:val="005743B7"/>
    <w:rsid w:val="00575F28"/>
    <w:rsid w:val="0057783B"/>
    <w:rsid w:val="00577A70"/>
    <w:rsid w:val="00577BD6"/>
    <w:rsid w:val="00577EB8"/>
    <w:rsid w:val="005804F5"/>
    <w:rsid w:val="005816E0"/>
    <w:rsid w:val="00585E9F"/>
    <w:rsid w:val="00587F5D"/>
    <w:rsid w:val="00590A8D"/>
    <w:rsid w:val="00590DF0"/>
    <w:rsid w:val="00592474"/>
    <w:rsid w:val="00592AE0"/>
    <w:rsid w:val="00592B2D"/>
    <w:rsid w:val="00593902"/>
    <w:rsid w:val="00594424"/>
    <w:rsid w:val="0059487B"/>
    <w:rsid w:val="00594FD4"/>
    <w:rsid w:val="00595EB1"/>
    <w:rsid w:val="00597384"/>
    <w:rsid w:val="005A0F86"/>
    <w:rsid w:val="005A1B76"/>
    <w:rsid w:val="005A2993"/>
    <w:rsid w:val="005A4C4A"/>
    <w:rsid w:val="005A4DCC"/>
    <w:rsid w:val="005A5861"/>
    <w:rsid w:val="005A6272"/>
    <w:rsid w:val="005A6F02"/>
    <w:rsid w:val="005A7D67"/>
    <w:rsid w:val="005B0466"/>
    <w:rsid w:val="005B05D6"/>
    <w:rsid w:val="005B1562"/>
    <w:rsid w:val="005B233D"/>
    <w:rsid w:val="005B354A"/>
    <w:rsid w:val="005B3B87"/>
    <w:rsid w:val="005B3D2C"/>
    <w:rsid w:val="005B6160"/>
    <w:rsid w:val="005C4F47"/>
    <w:rsid w:val="005C69CE"/>
    <w:rsid w:val="005D0355"/>
    <w:rsid w:val="005D0F81"/>
    <w:rsid w:val="005D22ED"/>
    <w:rsid w:val="005D33C0"/>
    <w:rsid w:val="005D33C3"/>
    <w:rsid w:val="005D510E"/>
    <w:rsid w:val="005D5F44"/>
    <w:rsid w:val="005D6B24"/>
    <w:rsid w:val="005E1502"/>
    <w:rsid w:val="005E343B"/>
    <w:rsid w:val="005E363D"/>
    <w:rsid w:val="005E5BC3"/>
    <w:rsid w:val="005F009E"/>
    <w:rsid w:val="005F1DCA"/>
    <w:rsid w:val="005F3D1A"/>
    <w:rsid w:val="005F4E79"/>
    <w:rsid w:val="005F53F9"/>
    <w:rsid w:val="005F58DF"/>
    <w:rsid w:val="00600AAB"/>
    <w:rsid w:val="00600C89"/>
    <w:rsid w:val="00601A34"/>
    <w:rsid w:val="00603842"/>
    <w:rsid w:val="006049F9"/>
    <w:rsid w:val="006053EF"/>
    <w:rsid w:val="00610492"/>
    <w:rsid w:val="0061434A"/>
    <w:rsid w:val="00614B3B"/>
    <w:rsid w:val="0061532C"/>
    <w:rsid w:val="00615516"/>
    <w:rsid w:val="00615970"/>
    <w:rsid w:val="00617ECF"/>
    <w:rsid w:val="00622197"/>
    <w:rsid w:val="006231F8"/>
    <w:rsid w:val="0062644A"/>
    <w:rsid w:val="00627D86"/>
    <w:rsid w:val="00630983"/>
    <w:rsid w:val="00630A98"/>
    <w:rsid w:val="0063499A"/>
    <w:rsid w:val="00634ACB"/>
    <w:rsid w:val="006357DC"/>
    <w:rsid w:val="006368ED"/>
    <w:rsid w:val="006375F8"/>
    <w:rsid w:val="00640AD9"/>
    <w:rsid w:val="0064257B"/>
    <w:rsid w:val="00642BD5"/>
    <w:rsid w:val="00644C54"/>
    <w:rsid w:val="00646015"/>
    <w:rsid w:val="00651103"/>
    <w:rsid w:val="006536B1"/>
    <w:rsid w:val="00654EF2"/>
    <w:rsid w:val="006566BC"/>
    <w:rsid w:val="00656BCC"/>
    <w:rsid w:val="00660834"/>
    <w:rsid w:val="00662BA6"/>
    <w:rsid w:val="00663024"/>
    <w:rsid w:val="006662DF"/>
    <w:rsid w:val="00666894"/>
    <w:rsid w:val="00667221"/>
    <w:rsid w:val="00673FC4"/>
    <w:rsid w:val="00677DE3"/>
    <w:rsid w:val="00677E25"/>
    <w:rsid w:val="00681A52"/>
    <w:rsid w:val="00683D29"/>
    <w:rsid w:val="00686753"/>
    <w:rsid w:val="00686C24"/>
    <w:rsid w:val="006909E9"/>
    <w:rsid w:val="0069198D"/>
    <w:rsid w:val="00692077"/>
    <w:rsid w:val="00693945"/>
    <w:rsid w:val="00694062"/>
    <w:rsid w:val="006942B7"/>
    <w:rsid w:val="006952A7"/>
    <w:rsid w:val="00696510"/>
    <w:rsid w:val="00696AB0"/>
    <w:rsid w:val="006A3873"/>
    <w:rsid w:val="006A3993"/>
    <w:rsid w:val="006A5336"/>
    <w:rsid w:val="006A5C62"/>
    <w:rsid w:val="006A6694"/>
    <w:rsid w:val="006A7655"/>
    <w:rsid w:val="006B02F5"/>
    <w:rsid w:val="006B13F0"/>
    <w:rsid w:val="006B2DDC"/>
    <w:rsid w:val="006B3752"/>
    <w:rsid w:val="006B63A9"/>
    <w:rsid w:val="006B67D6"/>
    <w:rsid w:val="006B7171"/>
    <w:rsid w:val="006B7893"/>
    <w:rsid w:val="006C0975"/>
    <w:rsid w:val="006C11EA"/>
    <w:rsid w:val="006C20FB"/>
    <w:rsid w:val="006C2A90"/>
    <w:rsid w:val="006C341A"/>
    <w:rsid w:val="006C3EBE"/>
    <w:rsid w:val="006C3F6E"/>
    <w:rsid w:val="006C451A"/>
    <w:rsid w:val="006C578A"/>
    <w:rsid w:val="006C5D76"/>
    <w:rsid w:val="006C6298"/>
    <w:rsid w:val="006D1D3E"/>
    <w:rsid w:val="006D2932"/>
    <w:rsid w:val="006D32E8"/>
    <w:rsid w:val="006D35A3"/>
    <w:rsid w:val="006D3EA4"/>
    <w:rsid w:val="006D3F7B"/>
    <w:rsid w:val="006D468D"/>
    <w:rsid w:val="006D64A8"/>
    <w:rsid w:val="006D6813"/>
    <w:rsid w:val="006E001B"/>
    <w:rsid w:val="006E0684"/>
    <w:rsid w:val="006E0749"/>
    <w:rsid w:val="006E1E21"/>
    <w:rsid w:val="006E1ECC"/>
    <w:rsid w:val="006E49C3"/>
    <w:rsid w:val="006E53F7"/>
    <w:rsid w:val="006E5525"/>
    <w:rsid w:val="006E7F08"/>
    <w:rsid w:val="006F2F0E"/>
    <w:rsid w:val="006F3B24"/>
    <w:rsid w:val="006F465E"/>
    <w:rsid w:val="006F4F02"/>
    <w:rsid w:val="006F5304"/>
    <w:rsid w:val="006F5980"/>
    <w:rsid w:val="006F655F"/>
    <w:rsid w:val="006F700D"/>
    <w:rsid w:val="00700822"/>
    <w:rsid w:val="00701FDC"/>
    <w:rsid w:val="0070296B"/>
    <w:rsid w:val="00703DC3"/>
    <w:rsid w:val="007061CA"/>
    <w:rsid w:val="007061CF"/>
    <w:rsid w:val="007068B6"/>
    <w:rsid w:val="007111B1"/>
    <w:rsid w:val="00713C68"/>
    <w:rsid w:val="007142C7"/>
    <w:rsid w:val="007164DE"/>
    <w:rsid w:val="00716D3D"/>
    <w:rsid w:val="007171DE"/>
    <w:rsid w:val="00721BB8"/>
    <w:rsid w:val="00721E1D"/>
    <w:rsid w:val="00723B0B"/>
    <w:rsid w:val="007250A0"/>
    <w:rsid w:val="00726048"/>
    <w:rsid w:val="0072734D"/>
    <w:rsid w:val="00730EAF"/>
    <w:rsid w:val="00730F13"/>
    <w:rsid w:val="00734B86"/>
    <w:rsid w:val="00735972"/>
    <w:rsid w:val="00736023"/>
    <w:rsid w:val="0074239A"/>
    <w:rsid w:val="007427E9"/>
    <w:rsid w:val="007471E3"/>
    <w:rsid w:val="0075082F"/>
    <w:rsid w:val="00751AF9"/>
    <w:rsid w:val="00751FD1"/>
    <w:rsid w:val="00753A13"/>
    <w:rsid w:val="00756FBC"/>
    <w:rsid w:val="0075773A"/>
    <w:rsid w:val="007638A0"/>
    <w:rsid w:val="00767572"/>
    <w:rsid w:val="00767F25"/>
    <w:rsid w:val="00772836"/>
    <w:rsid w:val="007730F9"/>
    <w:rsid w:val="0077317B"/>
    <w:rsid w:val="007734B3"/>
    <w:rsid w:val="00782377"/>
    <w:rsid w:val="00782460"/>
    <w:rsid w:val="007824F7"/>
    <w:rsid w:val="00782863"/>
    <w:rsid w:val="00782CF4"/>
    <w:rsid w:val="00783FA9"/>
    <w:rsid w:val="0078474A"/>
    <w:rsid w:val="00786127"/>
    <w:rsid w:val="007866F5"/>
    <w:rsid w:val="00786AC3"/>
    <w:rsid w:val="007873C7"/>
    <w:rsid w:val="007921A8"/>
    <w:rsid w:val="0079483E"/>
    <w:rsid w:val="007A1771"/>
    <w:rsid w:val="007A2107"/>
    <w:rsid w:val="007A38C0"/>
    <w:rsid w:val="007A5574"/>
    <w:rsid w:val="007A5A30"/>
    <w:rsid w:val="007B1EF2"/>
    <w:rsid w:val="007B31EF"/>
    <w:rsid w:val="007B411D"/>
    <w:rsid w:val="007B6667"/>
    <w:rsid w:val="007C0253"/>
    <w:rsid w:val="007C3DE0"/>
    <w:rsid w:val="007C4E36"/>
    <w:rsid w:val="007D151A"/>
    <w:rsid w:val="007D2D0B"/>
    <w:rsid w:val="007D3C5F"/>
    <w:rsid w:val="007D3DCC"/>
    <w:rsid w:val="007D4AFA"/>
    <w:rsid w:val="007D6515"/>
    <w:rsid w:val="007E02DB"/>
    <w:rsid w:val="007E49DA"/>
    <w:rsid w:val="007E66C1"/>
    <w:rsid w:val="007E7BBC"/>
    <w:rsid w:val="007E7C0C"/>
    <w:rsid w:val="007F342A"/>
    <w:rsid w:val="007F3538"/>
    <w:rsid w:val="007F4EE7"/>
    <w:rsid w:val="007F57C1"/>
    <w:rsid w:val="007F5818"/>
    <w:rsid w:val="007F6BCA"/>
    <w:rsid w:val="007F715F"/>
    <w:rsid w:val="007F7ACC"/>
    <w:rsid w:val="008022D3"/>
    <w:rsid w:val="00804C2C"/>
    <w:rsid w:val="00810051"/>
    <w:rsid w:val="008117F9"/>
    <w:rsid w:val="00811B3E"/>
    <w:rsid w:val="00811D34"/>
    <w:rsid w:val="00812012"/>
    <w:rsid w:val="00813521"/>
    <w:rsid w:val="008137BE"/>
    <w:rsid w:val="008161DD"/>
    <w:rsid w:val="00817956"/>
    <w:rsid w:val="00820532"/>
    <w:rsid w:val="008219E2"/>
    <w:rsid w:val="00822150"/>
    <w:rsid w:val="00823679"/>
    <w:rsid w:val="00824FA5"/>
    <w:rsid w:val="00825773"/>
    <w:rsid w:val="0083299B"/>
    <w:rsid w:val="00833B87"/>
    <w:rsid w:val="008352B7"/>
    <w:rsid w:val="00836DB9"/>
    <w:rsid w:val="008371BD"/>
    <w:rsid w:val="00837621"/>
    <w:rsid w:val="00844954"/>
    <w:rsid w:val="00844D4F"/>
    <w:rsid w:val="008464AB"/>
    <w:rsid w:val="00847210"/>
    <w:rsid w:val="00847EA7"/>
    <w:rsid w:val="00851A67"/>
    <w:rsid w:val="00852809"/>
    <w:rsid w:val="00852C02"/>
    <w:rsid w:val="00853891"/>
    <w:rsid w:val="0085579B"/>
    <w:rsid w:val="008558C1"/>
    <w:rsid w:val="00855AA8"/>
    <w:rsid w:val="00855AE3"/>
    <w:rsid w:val="00856A17"/>
    <w:rsid w:val="00856E09"/>
    <w:rsid w:val="00856FBB"/>
    <w:rsid w:val="0086096C"/>
    <w:rsid w:val="00861F49"/>
    <w:rsid w:val="00863774"/>
    <w:rsid w:val="0086400F"/>
    <w:rsid w:val="00865950"/>
    <w:rsid w:val="00865D59"/>
    <w:rsid w:val="00867AD5"/>
    <w:rsid w:val="008725B6"/>
    <w:rsid w:val="00873706"/>
    <w:rsid w:val="0087459C"/>
    <w:rsid w:val="0087485A"/>
    <w:rsid w:val="008763D7"/>
    <w:rsid w:val="0088004E"/>
    <w:rsid w:val="00881BCD"/>
    <w:rsid w:val="00882B3A"/>
    <w:rsid w:val="00883CBC"/>
    <w:rsid w:val="00887A94"/>
    <w:rsid w:val="00890A2C"/>
    <w:rsid w:val="00892AB0"/>
    <w:rsid w:val="00896123"/>
    <w:rsid w:val="008A12FB"/>
    <w:rsid w:val="008A2771"/>
    <w:rsid w:val="008A379E"/>
    <w:rsid w:val="008A42FE"/>
    <w:rsid w:val="008A4E39"/>
    <w:rsid w:val="008A58D9"/>
    <w:rsid w:val="008A72A4"/>
    <w:rsid w:val="008A769D"/>
    <w:rsid w:val="008B143A"/>
    <w:rsid w:val="008B2292"/>
    <w:rsid w:val="008B385C"/>
    <w:rsid w:val="008B637B"/>
    <w:rsid w:val="008B69BF"/>
    <w:rsid w:val="008B6C09"/>
    <w:rsid w:val="008B6C94"/>
    <w:rsid w:val="008C25BC"/>
    <w:rsid w:val="008C3228"/>
    <w:rsid w:val="008C33A8"/>
    <w:rsid w:val="008C4D05"/>
    <w:rsid w:val="008C778D"/>
    <w:rsid w:val="008C7E76"/>
    <w:rsid w:val="008D0EEE"/>
    <w:rsid w:val="008D232A"/>
    <w:rsid w:val="008D335E"/>
    <w:rsid w:val="008D4472"/>
    <w:rsid w:val="008D4A03"/>
    <w:rsid w:val="008D74A9"/>
    <w:rsid w:val="008D7564"/>
    <w:rsid w:val="008D7BDD"/>
    <w:rsid w:val="008E0414"/>
    <w:rsid w:val="008E0876"/>
    <w:rsid w:val="008E09EB"/>
    <w:rsid w:val="008E0A00"/>
    <w:rsid w:val="008E1339"/>
    <w:rsid w:val="008E15DB"/>
    <w:rsid w:val="008E318B"/>
    <w:rsid w:val="008E3964"/>
    <w:rsid w:val="008E4FBA"/>
    <w:rsid w:val="008E5867"/>
    <w:rsid w:val="008E5F35"/>
    <w:rsid w:val="008E5FC8"/>
    <w:rsid w:val="008F00F7"/>
    <w:rsid w:val="008F07EF"/>
    <w:rsid w:val="008F0969"/>
    <w:rsid w:val="008F3069"/>
    <w:rsid w:val="008F48D5"/>
    <w:rsid w:val="008F5B64"/>
    <w:rsid w:val="008F777A"/>
    <w:rsid w:val="00901923"/>
    <w:rsid w:val="009029FA"/>
    <w:rsid w:val="009031D9"/>
    <w:rsid w:val="00903A49"/>
    <w:rsid w:val="00903D79"/>
    <w:rsid w:val="00907F92"/>
    <w:rsid w:val="00912165"/>
    <w:rsid w:val="009178BC"/>
    <w:rsid w:val="009202DD"/>
    <w:rsid w:val="00920EA9"/>
    <w:rsid w:val="0092310E"/>
    <w:rsid w:val="00923E72"/>
    <w:rsid w:val="00924507"/>
    <w:rsid w:val="00924D8A"/>
    <w:rsid w:val="00926647"/>
    <w:rsid w:val="00926BF7"/>
    <w:rsid w:val="0092731F"/>
    <w:rsid w:val="00927DCE"/>
    <w:rsid w:val="009324DB"/>
    <w:rsid w:val="00932868"/>
    <w:rsid w:val="009328A8"/>
    <w:rsid w:val="009331F2"/>
    <w:rsid w:val="0093335E"/>
    <w:rsid w:val="00933B66"/>
    <w:rsid w:val="00933D1B"/>
    <w:rsid w:val="00933E7F"/>
    <w:rsid w:val="009354B1"/>
    <w:rsid w:val="00935718"/>
    <w:rsid w:val="00935A20"/>
    <w:rsid w:val="009374EA"/>
    <w:rsid w:val="009401F0"/>
    <w:rsid w:val="00940C4D"/>
    <w:rsid w:val="00941E12"/>
    <w:rsid w:val="00943107"/>
    <w:rsid w:val="00945A1E"/>
    <w:rsid w:val="0094643F"/>
    <w:rsid w:val="009473D0"/>
    <w:rsid w:val="00950B9E"/>
    <w:rsid w:val="00953CC0"/>
    <w:rsid w:val="009552E0"/>
    <w:rsid w:val="0095650D"/>
    <w:rsid w:val="009576B4"/>
    <w:rsid w:val="00960CEB"/>
    <w:rsid w:val="00960D5C"/>
    <w:rsid w:val="00960FF7"/>
    <w:rsid w:val="009619EA"/>
    <w:rsid w:val="00962D02"/>
    <w:rsid w:val="00963087"/>
    <w:rsid w:val="00966D31"/>
    <w:rsid w:val="009700B8"/>
    <w:rsid w:val="009701D2"/>
    <w:rsid w:val="0097104C"/>
    <w:rsid w:val="009743DE"/>
    <w:rsid w:val="009764F3"/>
    <w:rsid w:val="009779C3"/>
    <w:rsid w:val="00981B72"/>
    <w:rsid w:val="00981D71"/>
    <w:rsid w:val="00983628"/>
    <w:rsid w:val="00986B8F"/>
    <w:rsid w:val="009872EC"/>
    <w:rsid w:val="00990159"/>
    <w:rsid w:val="00995A6B"/>
    <w:rsid w:val="009A1C65"/>
    <w:rsid w:val="009A2E29"/>
    <w:rsid w:val="009A32FD"/>
    <w:rsid w:val="009A40C2"/>
    <w:rsid w:val="009A5750"/>
    <w:rsid w:val="009A69AC"/>
    <w:rsid w:val="009A7679"/>
    <w:rsid w:val="009A7BD8"/>
    <w:rsid w:val="009B0290"/>
    <w:rsid w:val="009B0463"/>
    <w:rsid w:val="009B1A09"/>
    <w:rsid w:val="009B43DA"/>
    <w:rsid w:val="009B57E8"/>
    <w:rsid w:val="009B6399"/>
    <w:rsid w:val="009B6D84"/>
    <w:rsid w:val="009B775E"/>
    <w:rsid w:val="009B7DC8"/>
    <w:rsid w:val="009C0412"/>
    <w:rsid w:val="009C0601"/>
    <w:rsid w:val="009C335E"/>
    <w:rsid w:val="009C4568"/>
    <w:rsid w:val="009C66A9"/>
    <w:rsid w:val="009C7328"/>
    <w:rsid w:val="009D00C0"/>
    <w:rsid w:val="009D2EC4"/>
    <w:rsid w:val="009D3168"/>
    <w:rsid w:val="009D545F"/>
    <w:rsid w:val="009E0E1E"/>
    <w:rsid w:val="009E0FAD"/>
    <w:rsid w:val="009E2E96"/>
    <w:rsid w:val="009E705F"/>
    <w:rsid w:val="009F1045"/>
    <w:rsid w:val="009F3B70"/>
    <w:rsid w:val="009F3BF7"/>
    <w:rsid w:val="009F5896"/>
    <w:rsid w:val="009F6F60"/>
    <w:rsid w:val="009F7FC4"/>
    <w:rsid w:val="00A01D49"/>
    <w:rsid w:val="00A03B11"/>
    <w:rsid w:val="00A052FC"/>
    <w:rsid w:val="00A062D5"/>
    <w:rsid w:val="00A10357"/>
    <w:rsid w:val="00A116FD"/>
    <w:rsid w:val="00A11E4A"/>
    <w:rsid w:val="00A1255F"/>
    <w:rsid w:val="00A12963"/>
    <w:rsid w:val="00A13799"/>
    <w:rsid w:val="00A141E4"/>
    <w:rsid w:val="00A14632"/>
    <w:rsid w:val="00A14F95"/>
    <w:rsid w:val="00A15A16"/>
    <w:rsid w:val="00A16B6B"/>
    <w:rsid w:val="00A176AC"/>
    <w:rsid w:val="00A201E5"/>
    <w:rsid w:val="00A209C1"/>
    <w:rsid w:val="00A237DB"/>
    <w:rsid w:val="00A24AA7"/>
    <w:rsid w:val="00A25A04"/>
    <w:rsid w:val="00A26A6D"/>
    <w:rsid w:val="00A27BD4"/>
    <w:rsid w:val="00A35543"/>
    <w:rsid w:val="00A363A0"/>
    <w:rsid w:val="00A406E0"/>
    <w:rsid w:val="00A412A7"/>
    <w:rsid w:val="00A4184D"/>
    <w:rsid w:val="00A44A87"/>
    <w:rsid w:val="00A44DBD"/>
    <w:rsid w:val="00A4544B"/>
    <w:rsid w:val="00A45907"/>
    <w:rsid w:val="00A45D06"/>
    <w:rsid w:val="00A46414"/>
    <w:rsid w:val="00A4643D"/>
    <w:rsid w:val="00A466FD"/>
    <w:rsid w:val="00A47B63"/>
    <w:rsid w:val="00A535B7"/>
    <w:rsid w:val="00A5424B"/>
    <w:rsid w:val="00A571B1"/>
    <w:rsid w:val="00A5722D"/>
    <w:rsid w:val="00A57A34"/>
    <w:rsid w:val="00A57CAE"/>
    <w:rsid w:val="00A62F87"/>
    <w:rsid w:val="00A65C22"/>
    <w:rsid w:val="00A6622F"/>
    <w:rsid w:val="00A670E8"/>
    <w:rsid w:val="00A70869"/>
    <w:rsid w:val="00A71FD0"/>
    <w:rsid w:val="00A72B56"/>
    <w:rsid w:val="00A758ED"/>
    <w:rsid w:val="00A77602"/>
    <w:rsid w:val="00A82227"/>
    <w:rsid w:val="00A82410"/>
    <w:rsid w:val="00A834F8"/>
    <w:rsid w:val="00A84875"/>
    <w:rsid w:val="00A8545C"/>
    <w:rsid w:val="00A86C90"/>
    <w:rsid w:val="00A87534"/>
    <w:rsid w:val="00A906D7"/>
    <w:rsid w:val="00A917F3"/>
    <w:rsid w:val="00A94985"/>
    <w:rsid w:val="00A95907"/>
    <w:rsid w:val="00A96CF2"/>
    <w:rsid w:val="00AA0160"/>
    <w:rsid w:val="00AA0A32"/>
    <w:rsid w:val="00AA1868"/>
    <w:rsid w:val="00AA378A"/>
    <w:rsid w:val="00AA3C24"/>
    <w:rsid w:val="00AA42E6"/>
    <w:rsid w:val="00AA4693"/>
    <w:rsid w:val="00AA73C3"/>
    <w:rsid w:val="00AB0BFF"/>
    <w:rsid w:val="00AB350B"/>
    <w:rsid w:val="00AB4968"/>
    <w:rsid w:val="00AB4D17"/>
    <w:rsid w:val="00AC0707"/>
    <w:rsid w:val="00AC0AFB"/>
    <w:rsid w:val="00AC1295"/>
    <w:rsid w:val="00AC2A31"/>
    <w:rsid w:val="00AC30C8"/>
    <w:rsid w:val="00AC3259"/>
    <w:rsid w:val="00AC4397"/>
    <w:rsid w:val="00AC699F"/>
    <w:rsid w:val="00AC6AC3"/>
    <w:rsid w:val="00AC7760"/>
    <w:rsid w:val="00AC7DC5"/>
    <w:rsid w:val="00AD0DD5"/>
    <w:rsid w:val="00AD35E5"/>
    <w:rsid w:val="00AD439E"/>
    <w:rsid w:val="00AD5774"/>
    <w:rsid w:val="00AD7317"/>
    <w:rsid w:val="00AE2730"/>
    <w:rsid w:val="00AE27BB"/>
    <w:rsid w:val="00AE2BD3"/>
    <w:rsid w:val="00AE3B94"/>
    <w:rsid w:val="00AE5EA0"/>
    <w:rsid w:val="00AE60D6"/>
    <w:rsid w:val="00AE77F8"/>
    <w:rsid w:val="00AF084F"/>
    <w:rsid w:val="00AF09DE"/>
    <w:rsid w:val="00AF4BF0"/>
    <w:rsid w:val="00AF73A9"/>
    <w:rsid w:val="00B00541"/>
    <w:rsid w:val="00B016DD"/>
    <w:rsid w:val="00B037DC"/>
    <w:rsid w:val="00B058D3"/>
    <w:rsid w:val="00B05ED8"/>
    <w:rsid w:val="00B0606D"/>
    <w:rsid w:val="00B11F72"/>
    <w:rsid w:val="00B13D74"/>
    <w:rsid w:val="00B14894"/>
    <w:rsid w:val="00B15F9D"/>
    <w:rsid w:val="00B1770E"/>
    <w:rsid w:val="00B22E07"/>
    <w:rsid w:val="00B25416"/>
    <w:rsid w:val="00B273E8"/>
    <w:rsid w:val="00B307EE"/>
    <w:rsid w:val="00B325A4"/>
    <w:rsid w:val="00B33B79"/>
    <w:rsid w:val="00B341CA"/>
    <w:rsid w:val="00B34602"/>
    <w:rsid w:val="00B349DC"/>
    <w:rsid w:val="00B37A18"/>
    <w:rsid w:val="00B43A8F"/>
    <w:rsid w:val="00B4573E"/>
    <w:rsid w:val="00B4695E"/>
    <w:rsid w:val="00B5079F"/>
    <w:rsid w:val="00B53E83"/>
    <w:rsid w:val="00B53FC1"/>
    <w:rsid w:val="00B546F6"/>
    <w:rsid w:val="00B55D89"/>
    <w:rsid w:val="00B5762E"/>
    <w:rsid w:val="00B57D8F"/>
    <w:rsid w:val="00B60057"/>
    <w:rsid w:val="00B618F8"/>
    <w:rsid w:val="00B61A14"/>
    <w:rsid w:val="00B624F0"/>
    <w:rsid w:val="00B6337B"/>
    <w:rsid w:val="00B63583"/>
    <w:rsid w:val="00B64215"/>
    <w:rsid w:val="00B64347"/>
    <w:rsid w:val="00B64F3F"/>
    <w:rsid w:val="00B64FAE"/>
    <w:rsid w:val="00B657ED"/>
    <w:rsid w:val="00B66FD5"/>
    <w:rsid w:val="00B70A89"/>
    <w:rsid w:val="00B70B3E"/>
    <w:rsid w:val="00B70C1A"/>
    <w:rsid w:val="00B70F2A"/>
    <w:rsid w:val="00B71493"/>
    <w:rsid w:val="00B71499"/>
    <w:rsid w:val="00B72AB4"/>
    <w:rsid w:val="00B74550"/>
    <w:rsid w:val="00B74A20"/>
    <w:rsid w:val="00B7549B"/>
    <w:rsid w:val="00B76DE1"/>
    <w:rsid w:val="00B8058E"/>
    <w:rsid w:val="00B82FA7"/>
    <w:rsid w:val="00B84389"/>
    <w:rsid w:val="00B84C4A"/>
    <w:rsid w:val="00B85543"/>
    <w:rsid w:val="00B90D08"/>
    <w:rsid w:val="00B92CE9"/>
    <w:rsid w:val="00B9366A"/>
    <w:rsid w:val="00B93F1C"/>
    <w:rsid w:val="00B93FC6"/>
    <w:rsid w:val="00B944E7"/>
    <w:rsid w:val="00B96573"/>
    <w:rsid w:val="00B96659"/>
    <w:rsid w:val="00B970C1"/>
    <w:rsid w:val="00B974F6"/>
    <w:rsid w:val="00BA0003"/>
    <w:rsid w:val="00BA211C"/>
    <w:rsid w:val="00BA3044"/>
    <w:rsid w:val="00BA3323"/>
    <w:rsid w:val="00BA4A41"/>
    <w:rsid w:val="00BA5D5A"/>
    <w:rsid w:val="00BB2739"/>
    <w:rsid w:val="00BB3041"/>
    <w:rsid w:val="00BB3B15"/>
    <w:rsid w:val="00BB400C"/>
    <w:rsid w:val="00BB4154"/>
    <w:rsid w:val="00BB561B"/>
    <w:rsid w:val="00BB5880"/>
    <w:rsid w:val="00BB5F8E"/>
    <w:rsid w:val="00BB62E9"/>
    <w:rsid w:val="00BB6BDA"/>
    <w:rsid w:val="00BB7087"/>
    <w:rsid w:val="00BC0A1C"/>
    <w:rsid w:val="00BC2C6A"/>
    <w:rsid w:val="00BC3E84"/>
    <w:rsid w:val="00BC634A"/>
    <w:rsid w:val="00BC63C9"/>
    <w:rsid w:val="00BC7AB2"/>
    <w:rsid w:val="00BD0A3B"/>
    <w:rsid w:val="00BD1669"/>
    <w:rsid w:val="00BD3DDC"/>
    <w:rsid w:val="00BD41F1"/>
    <w:rsid w:val="00BD4551"/>
    <w:rsid w:val="00BD68CF"/>
    <w:rsid w:val="00BD6C37"/>
    <w:rsid w:val="00BD74F5"/>
    <w:rsid w:val="00BD770B"/>
    <w:rsid w:val="00BD77B7"/>
    <w:rsid w:val="00BD7A41"/>
    <w:rsid w:val="00BE08FC"/>
    <w:rsid w:val="00BE3AD4"/>
    <w:rsid w:val="00BF0941"/>
    <w:rsid w:val="00BF151B"/>
    <w:rsid w:val="00BF1CD9"/>
    <w:rsid w:val="00BF55A3"/>
    <w:rsid w:val="00BF684C"/>
    <w:rsid w:val="00C02A95"/>
    <w:rsid w:val="00C03CD0"/>
    <w:rsid w:val="00C03E50"/>
    <w:rsid w:val="00C04D07"/>
    <w:rsid w:val="00C0532E"/>
    <w:rsid w:val="00C07614"/>
    <w:rsid w:val="00C07790"/>
    <w:rsid w:val="00C1168C"/>
    <w:rsid w:val="00C12259"/>
    <w:rsid w:val="00C13976"/>
    <w:rsid w:val="00C13F6D"/>
    <w:rsid w:val="00C1502D"/>
    <w:rsid w:val="00C205A8"/>
    <w:rsid w:val="00C20CDD"/>
    <w:rsid w:val="00C2170D"/>
    <w:rsid w:val="00C25A01"/>
    <w:rsid w:val="00C26A5E"/>
    <w:rsid w:val="00C27A03"/>
    <w:rsid w:val="00C30600"/>
    <w:rsid w:val="00C31B2E"/>
    <w:rsid w:val="00C3555D"/>
    <w:rsid w:val="00C36C92"/>
    <w:rsid w:val="00C36E0E"/>
    <w:rsid w:val="00C37B68"/>
    <w:rsid w:val="00C40913"/>
    <w:rsid w:val="00C40E12"/>
    <w:rsid w:val="00C40E7E"/>
    <w:rsid w:val="00C4299D"/>
    <w:rsid w:val="00C44F93"/>
    <w:rsid w:val="00C46308"/>
    <w:rsid w:val="00C46744"/>
    <w:rsid w:val="00C4680F"/>
    <w:rsid w:val="00C475E0"/>
    <w:rsid w:val="00C47F03"/>
    <w:rsid w:val="00C47FFD"/>
    <w:rsid w:val="00C51BA9"/>
    <w:rsid w:val="00C56DE6"/>
    <w:rsid w:val="00C577B7"/>
    <w:rsid w:val="00C60712"/>
    <w:rsid w:val="00C63E3E"/>
    <w:rsid w:val="00C64A13"/>
    <w:rsid w:val="00C6774A"/>
    <w:rsid w:val="00C67A94"/>
    <w:rsid w:val="00C70422"/>
    <w:rsid w:val="00C7078C"/>
    <w:rsid w:val="00C71219"/>
    <w:rsid w:val="00C71A19"/>
    <w:rsid w:val="00C71A8C"/>
    <w:rsid w:val="00C76A76"/>
    <w:rsid w:val="00C778C0"/>
    <w:rsid w:val="00C77AB5"/>
    <w:rsid w:val="00C77ABE"/>
    <w:rsid w:val="00C8067E"/>
    <w:rsid w:val="00C813D8"/>
    <w:rsid w:val="00C82510"/>
    <w:rsid w:val="00C83FB4"/>
    <w:rsid w:val="00C852BA"/>
    <w:rsid w:val="00C853DC"/>
    <w:rsid w:val="00C86445"/>
    <w:rsid w:val="00C86E30"/>
    <w:rsid w:val="00C87914"/>
    <w:rsid w:val="00C9110B"/>
    <w:rsid w:val="00C91D15"/>
    <w:rsid w:val="00C927EA"/>
    <w:rsid w:val="00C92F3D"/>
    <w:rsid w:val="00C9416A"/>
    <w:rsid w:val="00C94434"/>
    <w:rsid w:val="00C95079"/>
    <w:rsid w:val="00C9553E"/>
    <w:rsid w:val="00C96E55"/>
    <w:rsid w:val="00C97660"/>
    <w:rsid w:val="00C979D2"/>
    <w:rsid w:val="00C97F2D"/>
    <w:rsid w:val="00CA0BD9"/>
    <w:rsid w:val="00CA1216"/>
    <w:rsid w:val="00CA1A83"/>
    <w:rsid w:val="00CA31DF"/>
    <w:rsid w:val="00CA3C4E"/>
    <w:rsid w:val="00CA47F2"/>
    <w:rsid w:val="00CA4E85"/>
    <w:rsid w:val="00CA5146"/>
    <w:rsid w:val="00CA52B0"/>
    <w:rsid w:val="00CA54AD"/>
    <w:rsid w:val="00CA570E"/>
    <w:rsid w:val="00CA777F"/>
    <w:rsid w:val="00CB0165"/>
    <w:rsid w:val="00CB0F81"/>
    <w:rsid w:val="00CB14D5"/>
    <w:rsid w:val="00CB4D8F"/>
    <w:rsid w:val="00CB5A22"/>
    <w:rsid w:val="00CB5FC3"/>
    <w:rsid w:val="00CB62A2"/>
    <w:rsid w:val="00CC268A"/>
    <w:rsid w:val="00CC318C"/>
    <w:rsid w:val="00CC521D"/>
    <w:rsid w:val="00CC53D0"/>
    <w:rsid w:val="00CC75A4"/>
    <w:rsid w:val="00CD0078"/>
    <w:rsid w:val="00CD1D73"/>
    <w:rsid w:val="00CD3DD4"/>
    <w:rsid w:val="00CD44D4"/>
    <w:rsid w:val="00CD47FC"/>
    <w:rsid w:val="00CD564A"/>
    <w:rsid w:val="00CD6BE7"/>
    <w:rsid w:val="00CE0646"/>
    <w:rsid w:val="00CE2918"/>
    <w:rsid w:val="00CE2AEC"/>
    <w:rsid w:val="00CE4790"/>
    <w:rsid w:val="00CE5AC9"/>
    <w:rsid w:val="00CE6D43"/>
    <w:rsid w:val="00CF1567"/>
    <w:rsid w:val="00CF17B0"/>
    <w:rsid w:val="00CF3516"/>
    <w:rsid w:val="00CF3B9D"/>
    <w:rsid w:val="00CF3DD7"/>
    <w:rsid w:val="00CF447D"/>
    <w:rsid w:val="00CF6A59"/>
    <w:rsid w:val="00CF6EE0"/>
    <w:rsid w:val="00CF7A81"/>
    <w:rsid w:val="00D008D8"/>
    <w:rsid w:val="00D00CF2"/>
    <w:rsid w:val="00D011F3"/>
    <w:rsid w:val="00D01BA3"/>
    <w:rsid w:val="00D030C9"/>
    <w:rsid w:val="00D057E7"/>
    <w:rsid w:val="00D05962"/>
    <w:rsid w:val="00D0606B"/>
    <w:rsid w:val="00D0705F"/>
    <w:rsid w:val="00D076B3"/>
    <w:rsid w:val="00D07E1D"/>
    <w:rsid w:val="00D11B0B"/>
    <w:rsid w:val="00D14EC8"/>
    <w:rsid w:val="00D20217"/>
    <w:rsid w:val="00D20435"/>
    <w:rsid w:val="00D21976"/>
    <w:rsid w:val="00D2214C"/>
    <w:rsid w:val="00D2392B"/>
    <w:rsid w:val="00D2432E"/>
    <w:rsid w:val="00D32BBE"/>
    <w:rsid w:val="00D33527"/>
    <w:rsid w:val="00D33C71"/>
    <w:rsid w:val="00D34C3B"/>
    <w:rsid w:val="00D36BFC"/>
    <w:rsid w:val="00D37D98"/>
    <w:rsid w:val="00D409DE"/>
    <w:rsid w:val="00D40DEC"/>
    <w:rsid w:val="00D4299C"/>
    <w:rsid w:val="00D42CE3"/>
    <w:rsid w:val="00D4349A"/>
    <w:rsid w:val="00D43EBF"/>
    <w:rsid w:val="00D443B0"/>
    <w:rsid w:val="00D45BA5"/>
    <w:rsid w:val="00D46528"/>
    <w:rsid w:val="00D46FC6"/>
    <w:rsid w:val="00D5037B"/>
    <w:rsid w:val="00D50507"/>
    <w:rsid w:val="00D54856"/>
    <w:rsid w:val="00D558B9"/>
    <w:rsid w:val="00D57EF7"/>
    <w:rsid w:val="00D60BF3"/>
    <w:rsid w:val="00D62C53"/>
    <w:rsid w:val="00D63B5C"/>
    <w:rsid w:val="00D63CC1"/>
    <w:rsid w:val="00D64C0C"/>
    <w:rsid w:val="00D66087"/>
    <w:rsid w:val="00D66505"/>
    <w:rsid w:val="00D706CC"/>
    <w:rsid w:val="00D70A4F"/>
    <w:rsid w:val="00D716D8"/>
    <w:rsid w:val="00D72604"/>
    <w:rsid w:val="00D730F4"/>
    <w:rsid w:val="00D73242"/>
    <w:rsid w:val="00D73FDB"/>
    <w:rsid w:val="00D7480F"/>
    <w:rsid w:val="00D74C5E"/>
    <w:rsid w:val="00D75BF6"/>
    <w:rsid w:val="00D76CA5"/>
    <w:rsid w:val="00D774C1"/>
    <w:rsid w:val="00D77716"/>
    <w:rsid w:val="00D8042E"/>
    <w:rsid w:val="00D80EE5"/>
    <w:rsid w:val="00D81285"/>
    <w:rsid w:val="00D833F1"/>
    <w:rsid w:val="00D86F78"/>
    <w:rsid w:val="00D91457"/>
    <w:rsid w:val="00D91AC2"/>
    <w:rsid w:val="00D935F6"/>
    <w:rsid w:val="00D950C3"/>
    <w:rsid w:val="00D9552F"/>
    <w:rsid w:val="00D95969"/>
    <w:rsid w:val="00D970F2"/>
    <w:rsid w:val="00D97F94"/>
    <w:rsid w:val="00DA25A9"/>
    <w:rsid w:val="00DA42EA"/>
    <w:rsid w:val="00DB1641"/>
    <w:rsid w:val="00DB2C3C"/>
    <w:rsid w:val="00DB4062"/>
    <w:rsid w:val="00DB561C"/>
    <w:rsid w:val="00DB6F5D"/>
    <w:rsid w:val="00DC0FBA"/>
    <w:rsid w:val="00DC101C"/>
    <w:rsid w:val="00DC124E"/>
    <w:rsid w:val="00DC255C"/>
    <w:rsid w:val="00DC2C8F"/>
    <w:rsid w:val="00DC3278"/>
    <w:rsid w:val="00DC353B"/>
    <w:rsid w:val="00DC4681"/>
    <w:rsid w:val="00DC4A95"/>
    <w:rsid w:val="00DC525D"/>
    <w:rsid w:val="00DC52F3"/>
    <w:rsid w:val="00DC5F82"/>
    <w:rsid w:val="00DC7C5A"/>
    <w:rsid w:val="00DD0400"/>
    <w:rsid w:val="00DD0CE0"/>
    <w:rsid w:val="00DD1B44"/>
    <w:rsid w:val="00DD1CA5"/>
    <w:rsid w:val="00DD1D3E"/>
    <w:rsid w:val="00DD350E"/>
    <w:rsid w:val="00DD3867"/>
    <w:rsid w:val="00DD5200"/>
    <w:rsid w:val="00DD65A6"/>
    <w:rsid w:val="00DD6C9B"/>
    <w:rsid w:val="00DE0C9F"/>
    <w:rsid w:val="00DE1360"/>
    <w:rsid w:val="00DE1765"/>
    <w:rsid w:val="00DE1D2C"/>
    <w:rsid w:val="00DE2F1E"/>
    <w:rsid w:val="00DE3571"/>
    <w:rsid w:val="00DE3DBA"/>
    <w:rsid w:val="00DE49EA"/>
    <w:rsid w:val="00DE4C10"/>
    <w:rsid w:val="00DE594C"/>
    <w:rsid w:val="00DE7E57"/>
    <w:rsid w:val="00DF21BE"/>
    <w:rsid w:val="00DF2F3A"/>
    <w:rsid w:val="00DF2F96"/>
    <w:rsid w:val="00DF3296"/>
    <w:rsid w:val="00DF6AA1"/>
    <w:rsid w:val="00DF7A6E"/>
    <w:rsid w:val="00DF7BCC"/>
    <w:rsid w:val="00E00BCA"/>
    <w:rsid w:val="00E011E8"/>
    <w:rsid w:val="00E01FB5"/>
    <w:rsid w:val="00E0305A"/>
    <w:rsid w:val="00E04227"/>
    <w:rsid w:val="00E04243"/>
    <w:rsid w:val="00E044C8"/>
    <w:rsid w:val="00E049F1"/>
    <w:rsid w:val="00E04DA1"/>
    <w:rsid w:val="00E0577E"/>
    <w:rsid w:val="00E06C0F"/>
    <w:rsid w:val="00E06D5D"/>
    <w:rsid w:val="00E06EE8"/>
    <w:rsid w:val="00E1001F"/>
    <w:rsid w:val="00E10721"/>
    <w:rsid w:val="00E1266E"/>
    <w:rsid w:val="00E13DD8"/>
    <w:rsid w:val="00E14105"/>
    <w:rsid w:val="00E14C6D"/>
    <w:rsid w:val="00E15240"/>
    <w:rsid w:val="00E16FC1"/>
    <w:rsid w:val="00E208A2"/>
    <w:rsid w:val="00E2353D"/>
    <w:rsid w:val="00E245CF"/>
    <w:rsid w:val="00E2475F"/>
    <w:rsid w:val="00E25BE2"/>
    <w:rsid w:val="00E27042"/>
    <w:rsid w:val="00E30BEF"/>
    <w:rsid w:val="00E3266D"/>
    <w:rsid w:val="00E32EF6"/>
    <w:rsid w:val="00E3322A"/>
    <w:rsid w:val="00E34EA4"/>
    <w:rsid w:val="00E3561C"/>
    <w:rsid w:val="00E375C6"/>
    <w:rsid w:val="00E37E04"/>
    <w:rsid w:val="00E40B1F"/>
    <w:rsid w:val="00E43492"/>
    <w:rsid w:val="00E44088"/>
    <w:rsid w:val="00E444FC"/>
    <w:rsid w:val="00E463A6"/>
    <w:rsid w:val="00E47696"/>
    <w:rsid w:val="00E47A6C"/>
    <w:rsid w:val="00E47EED"/>
    <w:rsid w:val="00E50A36"/>
    <w:rsid w:val="00E51079"/>
    <w:rsid w:val="00E51450"/>
    <w:rsid w:val="00E53EEE"/>
    <w:rsid w:val="00E57A63"/>
    <w:rsid w:val="00E60174"/>
    <w:rsid w:val="00E60896"/>
    <w:rsid w:val="00E612D3"/>
    <w:rsid w:val="00E61498"/>
    <w:rsid w:val="00E61E6B"/>
    <w:rsid w:val="00E62F05"/>
    <w:rsid w:val="00E6316B"/>
    <w:rsid w:val="00E65269"/>
    <w:rsid w:val="00E657D6"/>
    <w:rsid w:val="00E66D89"/>
    <w:rsid w:val="00E71571"/>
    <w:rsid w:val="00E72A53"/>
    <w:rsid w:val="00E73E93"/>
    <w:rsid w:val="00E74D1A"/>
    <w:rsid w:val="00E74EF7"/>
    <w:rsid w:val="00E75088"/>
    <w:rsid w:val="00E7713B"/>
    <w:rsid w:val="00E776F4"/>
    <w:rsid w:val="00E7770A"/>
    <w:rsid w:val="00E80179"/>
    <w:rsid w:val="00E83396"/>
    <w:rsid w:val="00E83C76"/>
    <w:rsid w:val="00E85365"/>
    <w:rsid w:val="00E85EE7"/>
    <w:rsid w:val="00E862A5"/>
    <w:rsid w:val="00E8637C"/>
    <w:rsid w:val="00E910AA"/>
    <w:rsid w:val="00E911DC"/>
    <w:rsid w:val="00E914BA"/>
    <w:rsid w:val="00E93674"/>
    <w:rsid w:val="00E93913"/>
    <w:rsid w:val="00E9458B"/>
    <w:rsid w:val="00E94877"/>
    <w:rsid w:val="00E95356"/>
    <w:rsid w:val="00E9639B"/>
    <w:rsid w:val="00E96AF9"/>
    <w:rsid w:val="00E97E10"/>
    <w:rsid w:val="00EA154E"/>
    <w:rsid w:val="00EA331B"/>
    <w:rsid w:val="00EA35D6"/>
    <w:rsid w:val="00EA4C5B"/>
    <w:rsid w:val="00EA4CA7"/>
    <w:rsid w:val="00EA5C74"/>
    <w:rsid w:val="00EA68A6"/>
    <w:rsid w:val="00EB1225"/>
    <w:rsid w:val="00EB218F"/>
    <w:rsid w:val="00EB2574"/>
    <w:rsid w:val="00EB2F0D"/>
    <w:rsid w:val="00EB3631"/>
    <w:rsid w:val="00EB3AF8"/>
    <w:rsid w:val="00EB3F01"/>
    <w:rsid w:val="00EB5E06"/>
    <w:rsid w:val="00EB5F49"/>
    <w:rsid w:val="00EB7241"/>
    <w:rsid w:val="00EB77F6"/>
    <w:rsid w:val="00EB7CBB"/>
    <w:rsid w:val="00EC2659"/>
    <w:rsid w:val="00EC48D9"/>
    <w:rsid w:val="00EC5029"/>
    <w:rsid w:val="00EC67D6"/>
    <w:rsid w:val="00ED0664"/>
    <w:rsid w:val="00ED17A7"/>
    <w:rsid w:val="00ED38F3"/>
    <w:rsid w:val="00ED44C9"/>
    <w:rsid w:val="00ED5564"/>
    <w:rsid w:val="00ED5BF5"/>
    <w:rsid w:val="00ED7283"/>
    <w:rsid w:val="00ED7FFB"/>
    <w:rsid w:val="00EE0E28"/>
    <w:rsid w:val="00EE16F8"/>
    <w:rsid w:val="00EE1F9F"/>
    <w:rsid w:val="00EE2634"/>
    <w:rsid w:val="00EE2CA5"/>
    <w:rsid w:val="00EE2FA9"/>
    <w:rsid w:val="00EE3913"/>
    <w:rsid w:val="00EE395E"/>
    <w:rsid w:val="00EE550D"/>
    <w:rsid w:val="00EE6266"/>
    <w:rsid w:val="00EE62DA"/>
    <w:rsid w:val="00EF1B87"/>
    <w:rsid w:val="00EF2F56"/>
    <w:rsid w:val="00EF5F42"/>
    <w:rsid w:val="00EF60FD"/>
    <w:rsid w:val="00EF64CD"/>
    <w:rsid w:val="00EF7E10"/>
    <w:rsid w:val="00F03037"/>
    <w:rsid w:val="00F04A60"/>
    <w:rsid w:val="00F0513C"/>
    <w:rsid w:val="00F10016"/>
    <w:rsid w:val="00F107F8"/>
    <w:rsid w:val="00F116FF"/>
    <w:rsid w:val="00F12CC0"/>
    <w:rsid w:val="00F13564"/>
    <w:rsid w:val="00F15D22"/>
    <w:rsid w:val="00F205F8"/>
    <w:rsid w:val="00F2090B"/>
    <w:rsid w:val="00F22686"/>
    <w:rsid w:val="00F23C23"/>
    <w:rsid w:val="00F23DE7"/>
    <w:rsid w:val="00F258D1"/>
    <w:rsid w:val="00F25F1F"/>
    <w:rsid w:val="00F31255"/>
    <w:rsid w:val="00F3299C"/>
    <w:rsid w:val="00F342D9"/>
    <w:rsid w:val="00F3568E"/>
    <w:rsid w:val="00F37326"/>
    <w:rsid w:val="00F4090C"/>
    <w:rsid w:val="00F40914"/>
    <w:rsid w:val="00F413DF"/>
    <w:rsid w:val="00F423E6"/>
    <w:rsid w:val="00F4388B"/>
    <w:rsid w:val="00F4449F"/>
    <w:rsid w:val="00F4497B"/>
    <w:rsid w:val="00F44CA1"/>
    <w:rsid w:val="00F452DA"/>
    <w:rsid w:val="00F458EC"/>
    <w:rsid w:val="00F47861"/>
    <w:rsid w:val="00F5030C"/>
    <w:rsid w:val="00F51329"/>
    <w:rsid w:val="00F52854"/>
    <w:rsid w:val="00F52C98"/>
    <w:rsid w:val="00F52F9A"/>
    <w:rsid w:val="00F53288"/>
    <w:rsid w:val="00F53E2A"/>
    <w:rsid w:val="00F53E77"/>
    <w:rsid w:val="00F5445A"/>
    <w:rsid w:val="00F600FC"/>
    <w:rsid w:val="00F62393"/>
    <w:rsid w:val="00F628AD"/>
    <w:rsid w:val="00F65605"/>
    <w:rsid w:val="00F67011"/>
    <w:rsid w:val="00F675EA"/>
    <w:rsid w:val="00F67881"/>
    <w:rsid w:val="00F7047D"/>
    <w:rsid w:val="00F715DE"/>
    <w:rsid w:val="00F7542D"/>
    <w:rsid w:val="00F762D2"/>
    <w:rsid w:val="00F77D81"/>
    <w:rsid w:val="00F82583"/>
    <w:rsid w:val="00F85371"/>
    <w:rsid w:val="00F85D97"/>
    <w:rsid w:val="00F9007F"/>
    <w:rsid w:val="00F90965"/>
    <w:rsid w:val="00F90B88"/>
    <w:rsid w:val="00F947C3"/>
    <w:rsid w:val="00F94E8C"/>
    <w:rsid w:val="00F95615"/>
    <w:rsid w:val="00F966AA"/>
    <w:rsid w:val="00FA034F"/>
    <w:rsid w:val="00FA0EA1"/>
    <w:rsid w:val="00FA438B"/>
    <w:rsid w:val="00FA4F7B"/>
    <w:rsid w:val="00FA53F6"/>
    <w:rsid w:val="00FA65CA"/>
    <w:rsid w:val="00FA6E46"/>
    <w:rsid w:val="00FB0B2E"/>
    <w:rsid w:val="00FB6286"/>
    <w:rsid w:val="00FC07CF"/>
    <w:rsid w:val="00FC2005"/>
    <w:rsid w:val="00FC35EE"/>
    <w:rsid w:val="00FC6189"/>
    <w:rsid w:val="00FC6BED"/>
    <w:rsid w:val="00FC6C93"/>
    <w:rsid w:val="00FD5838"/>
    <w:rsid w:val="00FD6390"/>
    <w:rsid w:val="00FD70C6"/>
    <w:rsid w:val="00FE0747"/>
    <w:rsid w:val="00FE25A1"/>
    <w:rsid w:val="00FE2EC1"/>
    <w:rsid w:val="00FE70E5"/>
    <w:rsid w:val="00FE762E"/>
    <w:rsid w:val="00FF38D3"/>
    <w:rsid w:val="00FF4D4C"/>
    <w:rsid w:val="00FF5282"/>
    <w:rsid w:val="0AF8EF20"/>
    <w:rsid w:val="0E27F0E7"/>
    <w:rsid w:val="16FBECEF"/>
    <w:rsid w:val="209C96C8"/>
    <w:rsid w:val="24981201"/>
    <w:rsid w:val="25ED13C9"/>
    <w:rsid w:val="26C04BB3"/>
    <w:rsid w:val="2CA7C510"/>
    <w:rsid w:val="31C84DF2"/>
    <w:rsid w:val="33B28C24"/>
    <w:rsid w:val="33F668F5"/>
    <w:rsid w:val="3766A6B7"/>
    <w:rsid w:val="3F806670"/>
    <w:rsid w:val="4002FC63"/>
    <w:rsid w:val="40C75461"/>
    <w:rsid w:val="4E9968A4"/>
    <w:rsid w:val="55FCBF84"/>
    <w:rsid w:val="64599C25"/>
    <w:rsid w:val="67804EE8"/>
    <w:rsid w:val="6B3824FD"/>
    <w:rsid w:val="74515DB9"/>
    <w:rsid w:val="74D02BAE"/>
    <w:rsid w:val="75D441E0"/>
    <w:rsid w:val="7881D3FE"/>
    <w:rsid w:val="7D25DC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ECF8E3"/>
  <w15:docId w15:val="{8FEBA92F-988A-4897-9C2A-289703F4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F56"/>
    <w:rPr>
      <w:rFonts w:ascii="Times New Roman" w:eastAsia="Times New Roman" w:hAnsi="Times New Roman" w:cs="Times New Roman"/>
    </w:rPr>
  </w:style>
  <w:style w:type="paragraph" w:styleId="Heading1">
    <w:name w:val="heading 1"/>
    <w:basedOn w:val="Normal"/>
    <w:next w:val="Normal"/>
    <w:link w:val="Heading1Char"/>
    <w:qFormat/>
    <w:rsid w:val="00E914BA"/>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E914BA"/>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4B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14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914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14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14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14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14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86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14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E914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14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14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914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914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14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14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14B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914BA"/>
    <w:pPr>
      <w:ind w:left="720"/>
      <w:contextualSpacing/>
    </w:pPr>
  </w:style>
  <w:style w:type="paragraph" w:customStyle="1" w:styleId="body-lead1">
    <w:name w:val="body-lead1"/>
    <w:basedOn w:val="Normal"/>
    <w:link w:val="body-lead1Char"/>
    <w:rsid w:val="00286765"/>
    <w:pPr>
      <w:spacing w:before="120" w:after="120"/>
    </w:pPr>
    <w:rPr>
      <w:rFonts w:ascii="Arial" w:hAnsi="Arial" w:cs="Arial"/>
      <w:b/>
      <w:bCs/>
      <w:i/>
      <w:iCs/>
      <w:color w:val="000080"/>
      <w:sz w:val="22"/>
      <w:szCs w:val="22"/>
    </w:rPr>
  </w:style>
  <w:style w:type="character" w:customStyle="1" w:styleId="body-lead1Char">
    <w:name w:val="body-lead1 Char"/>
    <w:basedOn w:val="DefaultParagraphFont"/>
    <w:link w:val="body-lead1"/>
    <w:rsid w:val="00286765"/>
    <w:rPr>
      <w:rFonts w:ascii="Arial" w:eastAsia="Times New Roman" w:hAnsi="Arial" w:cs="Arial"/>
      <w:b/>
      <w:bCs/>
      <w:i/>
      <w:iCs/>
      <w:color w:val="000080"/>
      <w:sz w:val="22"/>
      <w:szCs w:val="22"/>
    </w:rPr>
  </w:style>
  <w:style w:type="paragraph" w:customStyle="1" w:styleId="body-text">
    <w:name w:val="body-text"/>
    <w:basedOn w:val="Normal"/>
    <w:link w:val="body-textChar"/>
    <w:rsid w:val="00286765"/>
    <w:pPr>
      <w:spacing w:before="120" w:after="120"/>
    </w:pPr>
    <w:rPr>
      <w:rFonts w:ascii="Arial" w:hAnsi="Arial" w:cs="Arial"/>
      <w:sz w:val="20"/>
      <w:szCs w:val="20"/>
    </w:rPr>
  </w:style>
  <w:style w:type="character" w:customStyle="1" w:styleId="body-textChar">
    <w:name w:val="body-text Char"/>
    <w:basedOn w:val="DefaultParagraphFont"/>
    <w:link w:val="body-text"/>
    <w:rsid w:val="00286765"/>
    <w:rPr>
      <w:rFonts w:ascii="Arial" w:eastAsia="Times New Roman" w:hAnsi="Arial" w:cs="Arial"/>
      <w:sz w:val="20"/>
      <w:szCs w:val="20"/>
    </w:rPr>
  </w:style>
  <w:style w:type="paragraph" w:customStyle="1" w:styleId="List1">
    <w:name w:val="List1"/>
    <w:basedOn w:val="Normal"/>
    <w:link w:val="listChar"/>
    <w:rsid w:val="00286765"/>
    <w:pPr>
      <w:spacing w:before="120" w:after="120"/>
    </w:pPr>
    <w:rPr>
      <w:rFonts w:ascii="Arial" w:hAnsi="Arial" w:cs="Arial"/>
      <w:sz w:val="20"/>
      <w:szCs w:val="20"/>
    </w:rPr>
  </w:style>
  <w:style w:type="character" w:customStyle="1" w:styleId="listChar">
    <w:name w:val="list Char"/>
    <w:basedOn w:val="DefaultParagraphFont"/>
    <w:link w:val="List1"/>
    <w:rsid w:val="00286765"/>
    <w:rPr>
      <w:rFonts w:ascii="Arial" w:eastAsia="Times New Roman" w:hAnsi="Arial" w:cs="Arial"/>
      <w:sz w:val="20"/>
      <w:szCs w:val="20"/>
    </w:rPr>
  </w:style>
  <w:style w:type="paragraph" w:styleId="BalloonText">
    <w:name w:val="Balloon Text"/>
    <w:basedOn w:val="Normal"/>
    <w:link w:val="BalloonTextChar"/>
    <w:uiPriority w:val="99"/>
    <w:semiHidden/>
    <w:unhideWhenUsed/>
    <w:rsid w:val="002867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6765"/>
    <w:rPr>
      <w:rFonts w:ascii="Lucida Grande" w:hAnsi="Lucida Grande" w:cs="Lucida Grande"/>
      <w:sz w:val="18"/>
      <w:szCs w:val="18"/>
    </w:rPr>
  </w:style>
  <w:style w:type="character" w:styleId="CommentReference">
    <w:name w:val="annotation reference"/>
    <w:uiPriority w:val="99"/>
    <w:semiHidden/>
    <w:rsid w:val="00B90D08"/>
    <w:rPr>
      <w:sz w:val="16"/>
      <w:szCs w:val="16"/>
    </w:rPr>
  </w:style>
  <w:style w:type="paragraph" w:styleId="CommentText">
    <w:name w:val="annotation text"/>
    <w:basedOn w:val="Normal"/>
    <w:link w:val="CommentTextChar"/>
    <w:uiPriority w:val="99"/>
    <w:unhideWhenUsed/>
    <w:rsid w:val="00B90D08"/>
    <w:pPr>
      <w:spacing w:after="200"/>
    </w:pPr>
    <w:rPr>
      <w:sz w:val="20"/>
      <w:szCs w:val="20"/>
      <w:lang w:eastAsia="zh-CN"/>
    </w:rPr>
  </w:style>
  <w:style w:type="character" w:customStyle="1" w:styleId="CommentTextChar">
    <w:name w:val="Comment Text Char"/>
    <w:basedOn w:val="DefaultParagraphFont"/>
    <w:link w:val="CommentText"/>
    <w:uiPriority w:val="99"/>
    <w:rsid w:val="00B90D08"/>
    <w:rPr>
      <w:sz w:val="20"/>
      <w:szCs w:val="20"/>
      <w:lang w:eastAsia="zh-CN"/>
    </w:rPr>
  </w:style>
  <w:style w:type="paragraph" w:styleId="NormalWeb">
    <w:name w:val="Normal (Web)"/>
    <w:basedOn w:val="Normal"/>
    <w:uiPriority w:val="99"/>
    <w:semiHidden/>
    <w:unhideWhenUsed/>
    <w:rsid w:val="009F7FC4"/>
    <w:pPr>
      <w:spacing w:before="100" w:beforeAutospacing="1" w:after="100" w:afterAutospacing="1"/>
    </w:pPr>
    <w:rPr>
      <w:rFonts w:ascii="Times" w:hAnsi="Times"/>
      <w:sz w:val="20"/>
      <w:szCs w:val="20"/>
    </w:rPr>
  </w:style>
  <w:style w:type="paragraph" w:styleId="ListBullet">
    <w:name w:val="List Bullet"/>
    <w:basedOn w:val="Normal"/>
    <w:link w:val="ListBulletChar"/>
    <w:rsid w:val="009F7FC4"/>
    <w:pPr>
      <w:numPr>
        <w:numId w:val="2"/>
      </w:numPr>
      <w:spacing w:before="115"/>
    </w:pPr>
    <w:rPr>
      <w:sz w:val="22"/>
      <w:szCs w:val="22"/>
    </w:rPr>
  </w:style>
  <w:style w:type="character" w:customStyle="1" w:styleId="ListBulletChar">
    <w:name w:val="List Bullet Char"/>
    <w:basedOn w:val="DefaultParagraphFont"/>
    <w:link w:val="ListBullet"/>
    <w:rsid w:val="009F7FC4"/>
    <w:rPr>
      <w:rFonts w:ascii="Times New Roman" w:eastAsia="Times New Roman" w:hAnsi="Times New Roman" w:cs="Times New Roman"/>
      <w:sz w:val="22"/>
      <w:szCs w:val="22"/>
    </w:rPr>
  </w:style>
  <w:style w:type="paragraph" w:styleId="BodyText">
    <w:name w:val="Body Text"/>
    <w:basedOn w:val="Normal"/>
    <w:link w:val="BodyTextChar"/>
    <w:uiPriority w:val="99"/>
    <w:rsid w:val="0045642A"/>
    <w:rPr>
      <w:sz w:val="22"/>
    </w:rPr>
  </w:style>
  <w:style w:type="character" w:customStyle="1" w:styleId="BodyTextChar">
    <w:name w:val="Body Text Char"/>
    <w:basedOn w:val="DefaultParagraphFont"/>
    <w:link w:val="BodyText"/>
    <w:uiPriority w:val="1"/>
    <w:rsid w:val="0045642A"/>
    <w:rPr>
      <w:rFonts w:ascii="Times New Roman" w:eastAsia="Times New Roman" w:hAnsi="Times New Roman" w:cs="Times New Roman"/>
      <w:sz w:val="22"/>
    </w:rPr>
  </w:style>
  <w:style w:type="paragraph" w:customStyle="1" w:styleId="TableBullet">
    <w:name w:val="Table Bullet"/>
    <w:basedOn w:val="Normal"/>
    <w:link w:val="TableBulletChar"/>
    <w:rsid w:val="00734B86"/>
    <w:pPr>
      <w:numPr>
        <w:numId w:val="3"/>
      </w:numPr>
      <w:tabs>
        <w:tab w:val="left" w:pos="270"/>
      </w:tabs>
      <w:spacing w:before="60" w:after="60"/>
    </w:pPr>
    <w:rPr>
      <w:rFonts w:ascii="Arial" w:hAnsi="Arial"/>
      <w:sz w:val="20"/>
      <w:szCs w:val="20"/>
    </w:rPr>
  </w:style>
  <w:style w:type="paragraph" w:customStyle="1" w:styleId="TableBody">
    <w:name w:val="Table Body"/>
    <w:rsid w:val="00734B86"/>
    <w:pPr>
      <w:spacing w:before="100" w:after="100"/>
    </w:pPr>
    <w:rPr>
      <w:rFonts w:ascii="Arial" w:eastAsia="Times New Roman" w:hAnsi="Arial" w:cs="Times New Roman"/>
      <w:sz w:val="20"/>
      <w:szCs w:val="20"/>
    </w:rPr>
  </w:style>
  <w:style w:type="paragraph" w:customStyle="1" w:styleId="TableHeadingBlack">
    <w:name w:val="Table Heading Black"/>
    <w:rsid w:val="00734B86"/>
    <w:pPr>
      <w:spacing w:after="120"/>
    </w:pPr>
    <w:rPr>
      <w:rFonts w:ascii="Arial Bold" w:eastAsia="Times New Roman" w:hAnsi="Arial Bold" w:cs="Times New Roman"/>
      <w:b/>
      <w:sz w:val="20"/>
      <w:szCs w:val="20"/>
    </w:rPr>
  </w:style>
  <w:style w:type="paragraph" w:customStyle="1" w:styleId="TableBullet2">
    <w:name w:val="Table Bullet 2"/>
    <w:rsid w:val="00734B86"/>
    <w:pPr>
      <w:numPr>
        <w:ilvl w:val="1"/>
        <w:numId w:val="4"/>
      </w:numPr>
      <w:tabs>
        <w:tab w:val="clear" w:pos="1080"/>
        <w:tab w:val="left" w:pos="720"/>
      </w:tabs>
      <w:spacing w:before="10" w:after="10"/>
    </w:pPr>
    <w:rPr>
      <w:rFonts w:ascii="Arial" w:eastAsia="Times New Roman" w:hAnsi="Arial" w:cs="Times New Roman"/>
      <w:sz w:val="20"/>
      <w:szCs w:val="20"/>
    </w:rPr>
  </w:style>
  <w:style w:type="character" w:customStyle="1" w:styleId="TableBulletChar">
    <w:name w:val="Table Bullet Char"/>
    <w:basedOn w:val="DefaultParagraphFont"/>
    <w:link w:val="TableBullet"/>
    <w:rsid w:val="00734B86"/>
    <w:rPr>
      <w:rFonts w:ascii="Arial" w:eastAsia="Times New Roman" w:hAnsi="Arial" w:cs="Times New Roman"/>
      <w:sz w:val="20"/>
      <w:szCs w:val="20"/>
    </w:rPr>
  </w:style>
  <w:style w:type="paragraph" w:styleId="Header">
    <w:name w:val="header"/>
    <w:basedOn w:val="Normal"/>
    <w:link w:val="HeaderChar"/>
    <w:uiPriority w:val="99"/>
    <w:unhideWhenUsed/>
    <w:rsid w:val="00F95615"/>
    <w:pPr>
      <w:tabs>
        <w:tab w:val="center" w:pos="4680"/>
        <w:tab w:val="right" w:pos="9360"/>
      </w:tabs>
    </w:pPr>
  </w:style>
  <w:style w:type="character" w:customStyle="1" w:styleId="HeaderChar">
    <w:name w:val="Header Char"/>
    <w:basedOn w:val="DefaultParagraphFont"/>
    <w:link w:val="Header"/>
    <w:uiPriority w:val="99"/>
    <w:rsid w:val="00F95615"/>
  </w:style>
  <w:style w:type="paragraph" w:styleId="Footer">
    <w:name w:val="footer"/>
    <w:basedOn w:val="Normal"/>
    <w:link w:val="FooterChar"/>
    <w:uiPriority w:val="99"/>
    <w:unhideWhenUsed/>
    <w:rsid w:val="00F95615"/>
    <w:pPr>
      <w:tabs>
        <w:tab w:val="center" w:pos="4680"/>
        <w:tab w:val="right" w:pos="9360"/>
      </w:tabs>
    </w:pPr>
  </w:style>
  <w:style w:type="character" w:customStyle="1" w:styleId="FooterChar">
    <w:name w:val="Footer Char"/>
    <w:basedOn w:val="DefaultParagraphFont"/>
    <w:link w:val="Footer"/>
    <w:uiPriority w:val="99"/>
    <w:rsid w:val="00F95615"/>
  </w:style>
  <w:style w:type="paragraph" w:styleId="CommentSubject">
    <w:name w:val="annotation subject"/>
    <w:basedOn w:val="CommentText"/>
    <w:next w:val="CommentText"/>
    <w:link w:val="CommentSubjectChar"/>
    <w:uiPriority w:val="99"/>
    <w:semiHidden/>
    <w:unhideWhenUsed/>
    <w:rsid w:val="00646015"/>
    <w:pPr>
      <w:spacing w:after="0"/>
    </w:pPr>
    <w:rPr>
      <w:b/>
      <w:bCs/>
      <w:lang w:eastAsia="en-US"/>
    </w:rPr>
  </w:style>
  <w:style w:type="character" w:customStyle="1" w:styleId="CommentSubjectChar">
    <w:name w:val="Comment Subject Char"/>
    <w:basedOn w:val="CommentTextChar"/>
    <w:link w:val="CommentSubject"/>
    <w:uiPriority w:val="99"/>
    <w:semiHidden/>
    <w:rsid w:val="00646015"/>
    <w:rPr>
      <w:b/>
      <w:bCs/>
      <w:sz w:val="20"/>
      <w:szCs w:val="20"/>
      <w:lang w:eastAsia="zh-CN"/>
    </w:rPr>
  </w:style>
  <w:style w:type="paragraph" w:styleId="BodyTextIndent2">
    <w:name w:val="Body Text Indent 2"/>
    <w:basedOn w:val="Normal"/>
    <w:link w:val="BodyTextIndent2Char"/>
    <w:uiPriority w:val="99"/>
    <w:semiHidden/>
    <w:unhideWhenUsed/>
    <w:rsid w:val="00D2432E"/>
    <w:pPr>
      <w:spacing w:after="120" w:line="480" w:lineRule="auto"/>
      <w:ind w:left="360"/>
    </w:pPr>
  </w:style>
  <w:style w:type="character" w:customStyle="1" w:styleId="BodyTextIndent2Char">
    <w:name w:val="Body Text Indent 2 Char"/>
    <w:basedOn w:val="DefaultParagraphFont"/>
    <w:link w:val="BodyTextIndent2"/>
    <w:uiPriority w:val="99"/>
    <w:semiHidden/>
    <w:rsid w:val="00D2432E"/>
  </w:style>
  <w:style w:type="character" w:styleId="Hyperlink">
    <w:name w:val="Hyperlink"/>
    <w:uiPriority w:val="99"/>
    <w:rsid w:val="00E25BE2"/>
    <w:rPr>
      <w:color w:val="0000FF"/>
      <w:u w:val="single"/>
    </w:rPr>
  </w:style>
  <w:style w:type="paragraph" w:styleId="TOCHeading">
    <w:name w:val="TOC Heading"/>
    <w:basedOn w:val="Heading1"/>
    <w:next w:val="Normal"/>
    <w:uiPriority w:val="39"/>
    <w:unhideWhenUsed/>
    <w:qFormat/>
    <w:rsid w:val="00455ADA"/>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B34602"/>
    <w:pPr>
      <w:tabs>
        <w:tab w:val="left" w:pos="450"/>
        <w:tab w:val="right" w:leader="dot" w:pos="10358"/>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05274B"/>
    <w:pPr>
      <w:ind w:left="240"/>
    </w:pPr>
    <w:rPr>
      <w:rFonts w:asciiTheme="minorHAnsi" w:hAnsiTheme="minorHAnsi"/>
      <w:smallCaps/>
      <w:sz w:val="20"/>
      <w:szCs w:val="20"/>
    </w:rPr>
  </w:style>
  <w:style w:type="paragraph" w:styleId="TOC3">
    <w:name w:val="toc 3"/>
    <w:basedOn w:val="Normal"/>
    <w:next w:val="Normal"/>
    <w:autoRedefine/>
    <w:uiPriority w:val="39"/>
    <w:unhideWhenUsed/>
    <w:rsid w:val="00455ADA"/>
    <w:pPr>
      <w:ind w:left="480"/>
    </w:pPr>
    <w:rPr>
      <w:rFonts w:asciiTheme="minorHAnsi" w:hAnsiTheme="minorHAnsi"/>
      <w:i/>
      <w:iCs/>
      <w:sz w:val="20"/>
      <w:szCs w:val="20"/>
    </w:rPr>
  </w:style>
  <w:style w:type="paragraph" w:styleId="TOC4">
    <w:name w:val="toc 4"/>
    <w:basedOn w:val="Normal"/>
    <w:next w:val="Normal"/>
    <w:autoRedefine/>
    <w:uiPriority w:val="39"/>
    <w:unhideWhenUsed/>
    <w:rsid w:val="00455ADA"/>
    <w:pPr>
      <w:ind w:left="720"/>
    </w:pPr>
    <w:rPr>
      <w:rFonts w:asciiTheme="minorHAnsi" w:hAnsiTheme="minorHAnsi"/>
      <w:sz w:val="18"/>
      <w:szCs w:val="18"/>
    </w:rPr>
  </w:style>
  <w:style w:type="paragraph" w:styleId="TOC5">
    <w:name w:val="toc 5"/>
    <w:basedOn w:val="Normal"/>
    <w:next w:val="Normal"/>
    <w:autoRedefine/>
    <w:uiPriority w:val="39"/>
    <w:unhideWhenUsed/>
    <w:rsid w:val="00455ADA"/>
    <w:pPr>
      <w:ind w:left="960"/>
    </w:pPr>
    <w:rPr>
      <w:rFonts w:asciiTheme="minorHAnsi" w:hAnsiTheme="minorHAnsi"/>
      <w:sz w:val="18"/>
      <w:szCs w:val="18"/>
    </w:rPr>
  </w:style>
  <w:style w:type="paragraph" w:styleId="TOC6">
    <w:name w:val="toc 6"/>
    <w:basedOn w:val="Normal"/>
    <w:next w:val="Normal"/>
    <w:autoRedefine/>
    <w:uiPriority w:val="39"/>
    <w:unhideWhenUsed/>
    <w:rsid w:val="00455ADA"/>
    <w:pPr>
      <w:ind w:left="1200"/>
    </w:pPr>
    <w:rPr>
      <w:rFonts w:asciiTheme="minorHAnsi" w:hAnsiTheme="minorHAnsi"/>
      <w:sz w:val="18"/>
      <w:szCs w:val="18"/>
    </w:rPr>
  </w:style>
  <w:style w:type="paragraph" w:styleId="TOC7">
    <w:name w:val="toc 7"/>
    <w:basedOn w:val="Normal"/>
    <w:next w:val="Normal"/>
    <w:autoRedefine/>
    <w:uiPriority w:val="39"/>
    <w:unhideWhenUsed/>
    <w:rsid w:val="00455ADA"/>
    <w:pPr>
      <w:ind w:left="1440"/>
    </w:pPr>
    <w:rPr>
      <w:rFonts w:asciiTheme="minorHAnsi" w:hAnsiTheme="minorHAnsi"/>
      <w:sz w:val="18"/>
      <w:szCs w:val="18"/>
    </w:rPr>
  </w:style>
  <w:style w:type="paragraph" w:styleId="TOC8">
    <w:name w:val="toc 8"/>
    <w:basedOn w:val="Normal"/>
    <w:next w:val="Normal"/>
    <w:autoRedefine/>
    <w:uiPriority w:val="39"/>
    <w:unhideWhenUsed/>
    <w:rsid w:val="00455ADA"/>
    <w:pPr>
      <w:ind w:left="1680"/>
    </w:pPr>
    <w:rPr>
      <w:rFonts w:asciiTheme="minorHAnsi" w:hAnsiTheme="minorHAnsi"/>
      <w:sz w:val="18"/>
      <w:szCs w:val="18"/>
    </w:rPr>
  </w:style>
  <w:style w:type="paragraph" w:styleId="TOC9">
    <w:name w:val="toc 9"/>
    <w:basedOn w:val="Normal"/>
    <w:next w:val="Normal"/>
    <w:autoRedefine/>
    <w:uiPriority w:val="39"/>
    <w:unhideWhenUsed/>
    <w:rsid w:val="00455ADA"/>
    <w:pPr>
      <w:ind w:left="1920"/>
    </w:pPr>
    <w:rPr>
      <w:rFonts w:asciiTheme="minorHAnsi" w:hAnsiTheme="minorHAnsi"/>
      <w:sz w:val="18"/>
      <w:szCs w:val="18"/>
    </w:rPr>
  </w:style>
  <w:style w:type="paragraph" w:styleId="Revision">
    <w:name w:val="Revision"/>
    <w:hidden/>
    <w:uiPriority w:val="99"/>
    <w:semiHidden/>
    <w:rsid w:val="00524F72"/>
  </w:style>
  <w:style w:type="character" w:styleId="FollowedHyperlink">
    <w:name w:val="FollowedHyperlink"/>
    <w:basedOn w:val="DefaultParagraphFont"/>
    <w:uiPriority w:val="99"/>
    <w:semiHidden/>
    <w:unhideWhenUsed/>
    <w:rsid w:val="006C578A"/>
    <w:rPr>
      <w:color w:val="800080" w:themeColor="followedHyperlink"/>
      <w:u w:val="single"/>
    </w:rPr>
  </w:style>
  <w:style w:type="character" w:styleId="UnresolvedMention">
    <w:name w:val="Unresolved Mention"/>
    <w:basedOn w:val="DefaultParagraphFont"/>
    <w:uiPriority w:val="99"/>
    <w:semiHidden/>
    <w:unhideWhenUsed/>
    <w:rsid w:val="00F53E2A"/>
    <w:rPr>
      <w:color w:val="605E5C"/>
      <w:shd w:val="clear" w:color="auto" w:fill="E1DFDD"/>
    </w:rPr>
  </w:style>
  <w:style w:type="table" w:customStyle="1" w:styleId="TableGrid1">
    <w:name w:val="Table Grid1"/>
    <w:basedOn w:val="TableNormal"/>
    <w:next w:val="TableGrid"/>
    <w:uiPriority w:val="59"/>
    <w:rsid w:val="001542E6"/>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581D"/>
    <w:rPr>
      <w:rFonts w:ascii="Calibri" w:eastAsiaTheme="minorHAnsi" w:hAnsi="Calibri"/>
      <w:sz w:val="22"/>
      <w:szCs w:val="22"/>
    </w:rPr>
  </w:style>
  <w:style w:type="character" w:styleId="Strong">
    <w:name w:val="Strong"/>
    <w:basedOn w:val="DefaultParagraphFont"/>
    <w:uiPriority w:val="22"/>
    <w:qFormat/>
    <w:rsid w:val="00EA4CA7"/>
    <w:rPr>
      <w:b/>
      <w:bCs/>
    </w:rPr>
  </w:style>
  <w:style w:type="paragraph" w:customStyle="1" w:styleId="paragraph">
    <w:name w:val="paragraph"/>
    <w:basedOn w:val="Normal"/>
    <w:rsid w:val="004002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330">
      <w:bodyDiv w:val="1"/>
      <w:marLeft w:val="0"/>
      <w:marRight w:val="0"/>
      <w:marTop w:val="0"/>
      <w:marBottom w:val="0"/>
      <w:divBdr>
        <w:top w:val="none" w:sz="0" w:space="0" w:color="auto"/>
        <w:left w:val="none" w:sz="0" w:space="0" w:color="auto"/>
        <w:bottom w:val="none" w:sz="0" w:space="0" w:color="auto"/>
        <w:right w:val="none" w:sz="0" w:space="0" w:color="auto"/>
      </w:divBdr>
      <w:divsChild>
        <w:div w:id="1630629629">
          <w:marLeft w:val="0"/>
          <w:marRight w:val="0"/>
          <w:marTop w:val="0"/>
          <w:marBottom w:val="0"/>
          <w:divBdr>
            <w:top w:val="none" w:sz="0" w:space="0" w:color="auto"/>
            <w:left w:val="none" w:sz="0" w:space="0" w:color="auto"/>
            <w:bottom w:val="none" w:sz="0" w:space="0" w:color="auto"/>
            <w:right w:val="none" w:sz="0" w:space="0" w:color="auto"/>
          </w:divBdr>
          <w:divsChild>
            <w:div w:id="1101149223">
              <w:marLeft w:val="0"/>
              <w:marRight w:val="0"/>
              <w:marTop w:val="0"/>
              <w:marBottom w:val="0"/>
              <w:divBdr>
                <w:top w:val="none" w:sz="0" w:space="0" w:color="auto"/>
                <w:left w:val="none" w:sz="0" w:space="0" w:color="auto"/>
                <w:bottom w:val="none" w:sz="0" w:space="0" w:color="auto"/>
                <w:right w:val="none" w:sz="0" w:space="0" w:color="auto"/>
              </w:divBdr>
              <w:divsChild>
                <w:div w:id="475996891">
                  <w:marLeft w:val="0"/>
                  <w:marRight w:val="0"/>
                  <w:marTop w:val="0"/>
                  <w:marBottom w:val="0"/>
                  <w:divBdr>
                    <w:top w:val="none" w:sz="0" w:space="0" w:color="auto"/>
                    <w:left w:val="none" w:sz="0" w:space="0" w:color="auto"/>
                    <w:bottom w:val="none" w:sz="0" w:space="0" w:color="auto"/>
                    <w:right w:val="none" w:sz="0" w:space="0" w:color="auto"/>
                  </w:divBdr>
                  <w:divsChild>
                    <w:div w:id="1379091678">
                      <w:marLeft w:val="0"/>
                      <w:marRight w:val="0"/>
                      <w:marTop w:val="0"/>
                      <w:marBottom w:val="0"/>
                      <w:divBdr>
                        <w:top w:val="none" w:sz="0" w:space="0" w:color="auto"/>
                        <w:left w:val="none" w:sz="0" w:space="0" w:color="auto"/>
                        <w:bottom w:val="none" w:sz="0" w:space="0" w:color="auto"/>
                        <w:right w:val="none" w:sz="0" w:space="0" w:color="auto"/>
                      </w:divBdr>
                      <w:divsChild>
                        <w:div w:id="1250118123">
                          <w:marLeft w:val="0"/>
                          <w:marRight w:val="0"/>
                          <w:marTop w:val="0"/>
                          <w:marBottom w:val="0"/>
                          <w:divBdr>
                            <w:top w:val="none" w:sz="0" w:space="0" w:color="auto"/>
                            <w:left w:val="none" w:sz="0" w:space="0" w:color="auto"/>
                            <w:bottom w:val="none" w:sz="0" w:space="0" w:color="auto"/>
                            <w:right w:val="none" w:sz="0" w:space="0" w:color="auto"/>
                          </w:divBdr>
                          <w:divsChild>
                            <w:div w:id="13243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07114">
      <w:bodyDiv w:val="1"/>
      <w:marLeft w:val="0"/>
      <w:marRight w:val="0"/>
      <w:marTop w:val="0"/>
      <w:marBottom w:val="0"/>
      <w:divBdr>
        <w:top w:val="none" w:sz="0" w:space="0" w:color="auto"/>
        <w:left w:val="none" w:sz="0" w:space="0" w:color="auto"/>
        <w:bottom w:val="none" w:sz="0" w:space="0" w:color="auto"/>
        <w:right w:val="none" w:sz="0" w:space="0" w:color="auto"/>
      </w:divBdr>
    </w:div>
    <w:div w:id="74085116">
      <w:bodyDiv w:val="1"/>
      <w:marLeft w:val="0"/>
      <w:marRight w:val="0"/>
      <w:marTop w:val="0"/>
      <w:marBottom w:val="0"/>
      <w:divBdr>
        <w:top w:val="none" w:sz="0" w:space="0" w:color="auto"/>
        <w:left w:val="none" w:sz="0" w:space="0" w:color="auto"/>
        <w:bottom w:val="none" w:sz="0" w:space="0" w:color="auto"/>
        <w:right w:val="none" w:sz="0" w:space="0" w:color="auto"/>
      </w:divBdr>
      <w:divsChild>
        <w:div w:id="1894656837">
          <w:marLeft w:val="274"/>
          <w:marRight w:val="0"/>
          <w:marTop w:val="0"/>
          <w:marBottom w:val="0"/>
          <w:divBdr>
            <w:top w:val="none" w:sz="0" w:space="0" w:color="auto"/>
            <w:left w:val="none" w:sz="0" w:space="0" w:color="auto"/>
            <w:bottom w:val="none" w:sz="0" w:space="0" w:color="auto"/>
            <w:right w:val="none" w:sz="0" w:space="0" w:color="auto"/>
          </w:divBdr>
        </w:div>
      </w:divsChild>
    </w:div>
    <w:div w:id="94791098">
      <w:bodyDiv w:val="1"/>
      <w:marLeft w:val="0"/>
      <w:marRight w:val="0"/>
      <w:marTop w:val="0"/>
      <w:marBottom w:val="0"/>
      <w:divBdr>
        <w:top w:val="none" w:sz="0" w:space="0" w:color="auto"/>
        <w:left w:val="none" w:sz="0" w:space="0" w:color="auto"/>
        <w:bottom w:val="none" w:sz="0" w:space="0" w:color="auto"/>
        <w:right w:val="none" w:sz="0" w:space="0" w:color="auto"/>
      </w:divBdr>
    </w:div>
    <w:div w:id="118303045">
      <w:bodyDiv w:val="1"/>
      <w:marLeft w:val="0"/>
      <w:marRight w:val="0"/>
      <w:marTop w:val="0"/>
      <w:marBottom w:val="0"/>
      <w:divBdr>
        <w:top w:val="none" w:sz="0" w:space="0" w:color="auto"/>
        <w:left w:val="none" w:sz="0" w:space="0" w:color="auto"/>
        <w:bottom w:val="none" w:sz="0" w:space="0" w:color="auto"/>
        <w:right w:val="none" w:sz="0" w:space="0" w:color="auto"/>
      </w:divBdr>
    </w:div>
    <w:div w:id="160973388">
      <w:bodyDiv w:val="1"/>
      <w:marLeft w:val="0"/>
      <w:marRight w:val="0"/>
      <w:marTop w:val="0"/>
      <w:marBottom w:val="0"/>
      <w:divBdr>
        <w:top w:val="none" w:sz="0" w:space="0" w:color="auto"/>
        <w:left w:val="none" w:sz="0" w:space="0" w:color="auto"/>
        <w:bottom w:val="none" w:sz="0" w:space="0" w:color="auto"/>
        <w:right w:val="none" w:sz="0" w:space="0" w:color="auto"/>
      </w:divBdr>
    </w:div>
    <w:div w:id="195240635">
      <w:bodyDiv w:val="1"/>
      <w:marLeft w:val="0"/>
      <w:marRight w:val="0"/>
      <w:marTop w:val="0"/>
      <w:marBottom w:val="0"/>
      <w:divBdr>
        <w:top w:val="none" w:sz="0" w:space="0" w:color="auto"/>
        <w:left w:val="none" w:sz="0" w:space="0" w:color="auto"/>
        <w:bottom w:val="none" w:sz="0" w:space="0" w:color="auto"/>
        <w:right w:val="none" w:sz="0" w:space="0" w:color="auto"/>
      </w:divBdr>
    </w:div>
    <w:div w:id="210507077">
      <w:bodyDiv w:val="1"/>
      <w:marLeft w:val="0"/>
      <w:marRight w:val="0"/>
      <w:marTop w:val="0"/>
      <w:marBottom w:val="0"/>
      <w:divBdr>
        <w:top w:val="none" w:sz="0" w:space="0" w:color="auto"/>
        <w:left w:val="none" w:sz="0" w:space="0" w:color="auto"/>
        <w:bottom w:val="none" w:sz="0" w:space="0" w:color="auto"/>
        <w:right w:val="none" w:sz="0" w:space="0" w:color="auto"/>
      </w:divBdr>
    </w:div>
    <w:div w:id="243882928">
      <w:bodyDiv w:val="1"/>
      <w:marLeft w:val="0"/>
      <w:marRight w:val="0"/>
      <w:marTop w:val="0"/>
      <w:marBottom w:val="0"/>
      <w:divBdr>
        <w:top w:val="none" w:sz="0" w:space="0" w:color="auto"/>
        <w:left w:val="none" w:sz="0" w:space="0" w:color="auto"/>
        <w:bottom w:val="none" w:sz="0" w:space="0" w:color="auto"/>
        <w:right w:val="none" w:sz="0" w:space="0" w:color="auto"/>
      </w:divBdr>
    </w:div>
    <w:div w:id="252276889">
      <w:bodyDiv w:val="1"/>
      <w:marLeft w:val="0"/>
      <w:marRight w:val="0"/>
      <w:marTop w:val="0"/>
      <w:marBottom w:val="0"/>
      <w:divBdr>
        <w:top w:val="none" w:sz="0" w:space="0" w:color="auto"/>
        <w:left w:val="none" w:sz="0" w:space="0" w:color="auto"/>
        <w:bottom w:val="none" w:sz="0" w:space="0" w:color="auto"/>
        <w:right w:val="none" w:sz="0" w:space="0" w:color="auto"/>
      </w:divBdr>
    </w:div>
    <w:div w:id="374500301">
      <w:bodyDiv w:val="1"/>
      <w:marLeft w:val="0"/>
      <w:marRight w:val="0"/>
      <w:marTop w:val="0"/>
      <w:marBottom w:val="0"/>
      <w:divBdr>
        <w:top w:val="none" w:sz="0" w:space="0" w:color="auto"/>
        <w:left w:val="none" w:sz="0" w:space="0" w:color="auto"/>
        <w:bottom w:val="none" w:sz="0" w:space="0" w:color="auto"/>
        <w:right w:val="none" w:sz="0" w:space="0" w:color="auto"/>
      </w:divBdr>
    </w:div>
    <w:div w:id="387538802">
      <w:bodyDiv w:val="1"/>
      <w:marLeft w:val="0"/>
      <w:marRight w:val="0"/>
      <w:marTop w:val="0"/>
      <w:marBottom w:val="0"/>
      <w:divBdr>
        <w:top w:val="none" w:sz="0" w:space="0" w:color="auto"/>
        <w:left w:val="none" w:sz="0" w:space="0" w:color="auto"/>
        <w:bottom w:val="none" w:sz="0" w:space="0" w:color="auto"/>
        <w:right w:val="none" w:sz="0" w:space="0" w:color="auto"/>
      </w:divBdr>
    </w:div>
    <w:div w:id="458914878">
      <w:bodyDiv w:val="1"/>
      <w:marLeft w:val="0"/>
      <w:marRight w:val="0"/>
      <w:marTop w:val="0"/>
      <w:marBottom w:val="0"/>
      <w:divBdr>
        <w:top w:val="none" w:sz="0" w:space="0" w:color="auto"/>
        <w:left w:val="none" w:sz="0" w:space="0" w:color="auto"/>
        <w:bottom w:val="none" w:sz="0" w:space="0" w:color="auto"/>
        <w:right w:val="none" w:sz="0" w:space="0" w:color="auto"/>
      </w:divBdr>
    </w:div>
    <w:div w:id="566847147">
      <w:bodyDiv w:val="1"/>
      <w:marLeft w:val="0"/>
      <w:marRight w:val="0"/>
      <w:marTop w:val="0"/>
      <w:marBottom w:val="0"/>
      <w:divBdr>
        <w:top w:val="none" w:sz="0" w:space="0" w:color="auto"/>
        <w:left w:val="none" w:sz="0" w:space="0" w:color="auto"/>
        <w:bottom w:val="none" w:sz="0" w:space="0" w:color="auto"/>
        <w:right w:val="none" w:sz="0" w:space="0" w:color="auto"/>
      </w:divBdr>
    </w:div>
    <w:div w:id="911278856">
      <w:bodyDiv w:val="1"/>
      <w:marLeft w:val="0"/>
      <w:marRight w:val="0"/>
      <w:marTop w:val="0"/>
      <w:marBottom w:val="0"/>
      <w:divBdr>
        <w:top w:val="none" w:sz="0" w:space="0" w:color="auto"/>
        <w:left w:val="none" w:sz="0" w:space="0" w:color="auto"/>
        <w:bottom w:val="none" w:sz="0" w:space="0" w:color="auto"/>
        <w:right w:val="none" w:sz="0" w:space="0" w:color="auto"/>
      </w:divBdr>
      <w:divsChild>
        <w:div w:id="113255114">
          <w:marLeft w:val="274"/>
          <w:marRight w:val="0"/>
          <w:marTop w:val="0"/>
          <w:marBottom w:val="0"/>
          <w:divBdr>
            <w:top w:val="none" w:sz="0" w:space="0" w:color="auto"/>
            <w:left w:val="none" w:sz="0" w:space="0" w:color="auto"/>
            <w:bottom w:val="none" w:sz="0" w:space="0" w:color="auto"/>
            <w:right w:val="none" w:sz="0" w:space="0" w:color="auto"/>
          </w:divBdr>
        </w:div>
      </w:divsChild>
    </w:div>
    <w:div w:id="1037043899">
      <w:bodyDiv w:val="1"/>
      <w:marLeft w:val="0"/>
      <w:marRight w:val="0"/>
      <w:marTop w:val="0"/>
      <w:marBottom w:val="0"/>
      <w:divBdr>
        <w:top w:val="none" w:sz="0" w:space="0" w:color="auto"/>
        <w:left w:val="none" w:sz="0" w:space="0" w:color="auto"/>
        <w:bottom w:val="none" w:sz="0" w:space="0" w:color="auto"/>
        <w:right w:val="none" w:sz="0" w:space="0" w:color="auto"/>
      </w:divBdr>
      <w:divsChild>
        <w:div w:id="6107404">
          <w:marLeft w:val="446"/>
          <w:marRight w:val="0"/>
          <w:marTop w:val="0"/>
          <w:marBottom w:val="0"/>
          <w:divBdr>
            <w:top w:val="none" w:sz="0" w:space="0" w:color="auto"/>
            <w:left w:val="none" w:sz="0" w:space="0" w:color="auto"/>
            <w:bottom w:val="none" w:sz="0" w:space="0" w:color="auto"/>
            <w:right w:val="none" w:sz="0" w:space="0" w:color="auto"/>
          </w:divBdr>
        </w:div>
        <w:div w:id="96605015">
          <w:marLeft w:val="446"/>
          <w:marRight w:val="0"/>
          <w:marTop w:val="0"/>
          <w:marBottom w:val="0"/>
          <w:divBdr>
            <w:top w:val="none" w:sz="0" w:space="0" w:color="auto"/>
            <w:left w:val="none" w:sz="0" w:space="0" w:color="auto"/>
            <w:bottom w:val="none" w:sz="0" w:space="0" w:color="auto"/>
            <w:right w:val="none" w:sz="0" w:space="0" w:color="auto"/>
          </w:divBdr>
        </w:div>
        <w:div w:id="324362136">
          <w:marLeft w:val="446"/>
          <w:marRight w:val="0"/>
          <w:marTop w:val="0"/>
          <w:marBottom w:val="0"/>
          <w:divBdr>
            <w:top w:val="none" w:sz="0" w:space="0" w:color="auto"/>
            <w:left w:val="none" w:sz="0" w:space="0" w:color="auto"/>
            <w:bottom w:val="none" w:sz="0" w:space="0" w:color="auto"/>
            <w:right w:val="none" w:sz="0" w:space="0" w:color="auto"/>
          </w:divBdr>
        </w:div>
        <w:div w:id="494296814">
          <w:marLeft w:val="446"/>
          <w:marRight w:val="0"/>
          <w:marTop w:val="0"/>
          <w:marBottom w:val="0"/>
          <w:divBdr>
            <w:top w:val="none" w:sz="0" w:space="0" w:color="auto"/>
            <w:left w:val="none" w:sz="0" w:space="0" w:color="auto"/>
            <w:bottom w:val="none" w:sz="0" w:space="0" w:color="auto"/>
            <w:right w:val="none" w:sz="0" w:space="0" w:color="auto"/>
          </w:divBdr>
        </w:div>
        <w:div w:id="546184024">
          <w:marLeft w:val="446"/>
          <w:marRight w:val="0"/>
          <w:marTop w:val="0"/>
          <w:marBottom w:val="0"/>
          <w:divBdr>
            <w:top w:val="none" w:sz="0" w:space="0" w:color="auto"/>
            <w:left w:val="none" w:sz="0" w:space="0" w:color="auto"/>
            <w:bottom w:val="none" w:sz="0" w:space="0" w:color="auto"/>
            <w:right w:val="none" w:sz="0" w:space="0" w:color="auto"/>
          </w:divBdr>
        </w:div>
        <w:div w:id="1150559420">
          <w:marLeft w:val="446"/>
          <w:marRight w:val="0"/>
          <w:marTop w:val="0"/>
          <w:marBottom w:val="0"/>
          <w:divBdr>
            <w:top w:val="none" w:sz="0" w:space="0" w:color="auto"/>
            <w:left w:val="none" w:sz="0" w:space="0" w:color="auto"/>
            <w:bottom w:val="none" w:sz="0" w:space="0" w:color="auto"/>
            <w:right w:val="none" w:sz="0" w:space="0" w:color="auto"/>
          </w:divBdr>
        </w:div>
        <w:div w:id="1667899584">
          <w:marLeft w:val="446"/>
          <w:marRight w:val="0"/>
          <w:marTop w:val="0"/>
          <w:marBottom w:val="0"/>
          <w:divBdr>
            <w:top w:val="none" w:sz="0" w:space="0" w:color="auto"/>
            <w:left w:val="none" w:sz="0" w:space="0" w:color="auto"/>
            <w:bottom w:val="none" w:sz="0" w:space="0" w:color="auto"/>
            <w:right w:val="none" w:sz="0" w:space="0" w:color="auto"/>
          </w:divBdr>
        </w:div>
        <w:div w:id="1804536791">
          <w:marLeft w:val="446"/>
          <w:marRight w:val="0"/>
          <w:marTop w:val="0"/>
          <w:marBottom w:val="0"/>
          <w:divBdr>
            <w:top w:val="none" w:sz="0" w:space="0" w:color="auto"/>
            <w:left w:val="none" w:sz="0" w:space="0" w:color="auto"/>
            <w:bottom w:val="none" w:sz="0" w:space="0" w:color="auto"/>
            <w:right w:val="none" w:sz="0" w:space="0" w:color="auto"/>
          </w:divBdr>
        </w:div>
        <w:div w:id="2138134030">
          <w:marLeft w:val="446"/>
          <w:marRight w:val="0"/>
          <w:marTop w:val="0"/>
          <w:marBottom w:val="0"/>
          <w:divBdr>
            <w:top w:val="none" w:sz="0" w:space="0" w:color="auto"/>
            <w:left w:val="none" w:sz="0" w:space="0" w:color="auto"/>
            <w:bottom w:val="none" w:sz="0" w:space="0" w:color="auto"/>
            <w:right w:val="none" w:sz="0" w:space="0" w:color="auto"/>
          </w:divBdr>
        </w:div>
      </w:divsChild>
    </w:div>
    <w:div w:id="1047415891">
      <w:bodyDiv w:val="1"/>
      <w:marLeft w:val="0"/>
      <w:marRight w:val="0"/>
      <w:marTop w:val="0"/>
      <w:marBottom w:val="0"/>
      <w:divBdr>
        <w:top w:val="none" w:sz="0" w:space="0" w:color="auto"/>
        <w:left w:val="none" w:sz="0" w:space="0" w:color="auto"/>
        <w:bottom w:val="none" w:sz="0" w:space="0" w:color="auto"/>
        <w:right w:val="none" w:sz="0" w:space="0" w:color="auto"/>
      </w:divBdr>
      <w:divsChild>
        <w:div w:id="569316015">
          <w:marLeft w:val="274"/>
          <w:marRight w:val="0"/>
          <w:marTop w:val="0"/>
          <w:marBottom w:val="0"/>
          <w:divBdr>
            <w:top w:val="none" w:sz="0" w:space="0" w:color="auto"/>
            <w:left w:val="none" w:sz="0" w:space="0" w:color="auto"/>
            <w:bottom w:val="none" w:sz="0" w:space="0" w:color="auto"/>
            <w:right w:val="none" w:sz="0" w:space="0" w:color="auto"/>
          </w:divBdr>
        </w:div>
      </w:divsChild>
    </w:div>
    <w:div w:id="1123228236">
      <w:bodyDiv w:val="1"/>
      <w:marLeft w:val="0"/>
      <w:marRight w:val="0"/>
      <w:marTop w:val="0"/>
      <w:marBottom w:val="0"/>
      <w:divBdr>
        <w:top w:val="none" w:sz="0" w:space="0" w:color="auto"/>
        <w:left w:val="none" w:sz="0" w:space="0" w:color="auto"/>
        <w:bottom w:val="none" w:sz="0" w:space="0" w:color="auto"/>
        <w:right w:val="none" w:sz="0" w:space="0" w:color="auto"/>
      </w:divBdr>
    </w:div>
    <w:div w:id="1214150599">
      <w:bodyDiv w:val="1"/>
      <w:marLeft w:val="0"/>
      <w:marRight w:val="0"/>
      <w:marTop w:val="0"/>
      <w:marBottom w:val="0"/>
      <w:divBdr>
        <w:top w:val="none" w:sz="0" w:space="0" w:color="auto"/>
        <w:left w:val="none" w:sz="0" w:space="0" w:color="auto"/>
        <w:bottom w:val="none" w:sz="0" w:space="0" w:color="auto"/>
        <w:right w:val="none" w:sz="0" w:space="0" w:color="auto"/>
      </w:divBdr>
      <w:divsChild>
        <w:div w:id="966282504">
          <w:marLeft w:val="547"/>
          <w:marRight w:val="0"/>
          <w:marTop w:val="0"/>
          <w:marBottom w:val="0"/>
          <w:divBdr>
            <w:top w:val="none" w:sz="0" w:space="0" w:color="auto"/>
            <w:left w:val="none" w:sz="0" w:space="0" w:color="auto"/>
            <w:bottom w:val="none" w:sz="0" w:space="0" w:color="auto"/>
            <w:right w:val="none" w:sz="0" w:space="0" w:color="auto"/>
          </w:divBdr>
        </w:div>
        <w:div w:id="1251699998">
          <w:marLeft w:val="547"/>
          <w:marRight w:val="0"/>
          <w:marTop w:val="0"/>
          <w:marBottom w:val="0"/>
          <w:divBdr>
            <w:top w:val="none" w:sz="0" w:space="0" w:color="auto"/>
            <w:left w:val="none" w:sz="0" w:space="0" w:color="auto"/>
            <w:bottom w:val="none" w:sz="0" w:space="0" w:color="auto"/>
            <w:right w:val="none" w:sz="0" w:space="0" w:color="auto"/>
          </w:divBdr>
        </w:div>
        <w:div w:id="1608462668">
          <w:marLeft w:val="547"/>
          <w:marRight w:val="0"/>
          <w:marTop w:val="0"/>
          <w:marBottom w:val="0"/>
          <w:divBdr>
            <w:top w:val="none" w:sz="0" w:space="0" w:color="auto"/>
            <w:left w:val="none" w:sz="0" w:space="0" w:color="auto"/>
            <w:bottom w:val="none" w:sz="0" w:space="0" w:color="auto"/>
            <w:right w:val="none" w:sz="0" w:space="0" w:color="auto"/>
          </w:divBdr>
        </w:div>
      </w:divsChild>
    </w:div>
    <w:div w:id="1408117467">
      <w:bodyDiv w:val="1"/>
      <w:marLeft w:val="0"/>
      <w:marRight w:val="0"/>
      <w:marTop w:val="0"/>
      <w:marBottom w:val="0"/>
      <w:divBdr>
        <w:top w:val="none" w:sz="0" w:space="0" w:color="auto"/>
        <w:left w:val="none" w:sz="0" w:space="0" w:color="auto"/>
        <w:bottom w:val="none" w:sz="0" w:space="0" w:color="auto"/>
        <w:right w:val="none" w:sz="0" w:space="0" w:color="auto"/>
      </w:divBdr>
    </w:div>
    <w:div w:id="1533618029">
      <w:bodyDiv w:val="1"/>
      <w:marLeft w:val="0"/>
      <w:marRight w:val="0"/>
      <w:marTop w:val="0"/>
      <w:marBottom w:val="0"/>
      <w:divBdr>
        <w:top w:val="none" w:sz="0" w:space="0" w:color="auto"/>
        <w:left w:val="none" w:sz="0" w:space="0" w:color="auto"/>
        <w:bottom w:val="none" w:sz="0" w:space="0" w:color="auto"/>
        <w:right w:val="none" w:sz="0" w:space="0" w:color="auto"/>
      </w:divBdr>
    </w:div>
    <w:div w:id="1555045031">
      <w:bodyDiv w:val="1"/>
      <w:marLeft w:val="0"/>
      <w:marRight w:val="0"/>
      <w:marTop w:val="0"/>
      <w:marBottom w:val="0"/>
      <w:divBdr>
        <w:top w:val="none" w:sz="0" w:space="0" w:color="auto"/>
        <w:left w:val="none" w:sz="0" w:space="0" w:color="auto"/>
        <w:bottom w:val="none" w:sz="0" w:space="0" w:color="auto"/>
        <w:right w:val="none" w:sz="0" w:space="0" w:color="auto"/>
      </w:divBdr>
    </w:div>
    <w:div w:id="1582564356">
      <w:bodyDiv w:val="1"/>
      <w:marLeft w:val="0"/>
      <w:marRight w:val="0"/>
      <w:marTop w:val="0"/>
      <w:marBottom w:val="0"/>
      <w:divBdr>
        <w:top w:val="none" w:sz="0" w:space="0" w:color="auto"/>
        <w:left w:val="none" w:sz="0" w:space="0" w:color="auto"/>
        <w:bottom w:val="none" w:sz="0" w:space="0" w:color="auto"/>
        <w:right w:val="none" w:sz="0" w:space="0" w:color="auto"/>
      </w:divBdr>
    </w:div>
    <w:div w:id="1604723013">
      <w:bodyDiv w:val="1"/>
      <w:marLeft w:val="0"/>
      <w:marRight w:val="0"/>
      <w:marTop w:val="0"/>
      <w:marBottom w:val="0"/>
      <w:divBdr>
        <w:top w:val="none" w:sz="0" w:space="0" w:color="auto"/>
        <w:left w:val="none" w:sz="0" w:space="0" w:color="auto"/>
        <w:bottom w:val="none" w:sz="0" w:space="0" w:color="auto"/>
        <w:right w:val="none" w:sz="0" w:space="0" w:color="auto"/>
      </w:divBdr>
    </w:div>
    <w:div w:id="1766219824">
      <w:bodyDiv w:val="1"/>
      <w:marLeft w:val="0"/>
      <w:marRight w:val="0"/>
      <w:marTop w:val="0"/>
      <w:marBottom w:val="0"/>
      <w:divBdr>
        <w:top w:val="none" w:sz="0" w:space="0" w:color="auto"/>
        <w:left w:val="none" w:sz="0" w:space="0" w:color="auto"/>
        <w:bottom w:val="none" w:sz="0" w:space="0" w:color="auto"/>
        <w:right w:val="none" w:sz="0" w:space="0" w:color="auto"/>
      </w:divBdr>
    </w:div>
    <w:div w:id="1776051266">
      <w:bodyDiv w:val="1"/>
      <w:marLeft w:val="0"/>
      <w:marRight w:val="0"/>
      <w:marTop w:val="0"/>
      <w:marBottom w:val="0"/>
      <w:divBdr>
        <w:top w:val="none" w:sz="0" w:space="0" w:color="auto"/>
        <w:left w:val="none" w:sz="0" w:space="0" w:color="auto"/>
        <w:bottom w:val="none" w:sz="0" w:space="0" w:color="auto"/>
        <w:right w:val="none" w:sz="0" w:space="0" w:color="auto"/>
      </w:divBdr>
    </w:div>
    <w:div w:id="1790735726">
      <w:bodyDiv w:val="1"/>
      <w:marLeft w:val="0"/>
      <w:marRight w:val="0"/>
      <w:marTop w:val="0"/>
      <w:marBottom w:val="0"/>
      <w:divBdr>
        <w:top w:val="none" w:sz="0" w:space="0" w:color="auto"/>
        <w:left w:val="none" w:sz="0" w:space="0" w:color="auto"/>
        <w:bottom w:val="none" w:sz="0" w:space="0" w:color="auto"/>
        <w:right w:val="none" w:sz="0" w:space="0" w:color="auto"/>
      </w:divBdr>
    </w:div>
    <w:div w:id="1856192128">
      <w:bodyDiv w:val="1"/>
      <w:marLeft w:val="0"/>
      <w:marRight w:val="0"/>
      <w:marTop w:val="0"/>
      <w:marBottom w:val="0"/>
      <w:divBdr>
        <w:top w:val="none" w:sz="0" w:space="0" w:color="auto"/>
        <w:left w:val="none" w:sz="0" w:space="0" w:color="auto"/>
        <w:bottom w:val="none" w:sz="0" w:space="0" w:color="auto"/>
        <w:right w:val="none" w:sz="0" w:space="0" w:color="auto"/>
      </w:divBdr>
    </w:div>
    <w:div w:id="1981953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nksco.sharepoint.com/sites/GlobalTravelExp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retto@brin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5e8845-a69c-4e9c-a143-50df7cacd838" xsi:nil="true"/>
    <lcf76f155ced4ddcb4097134ff3c332f xmlns="ff04336e-09fa-4e91-9b18-d87f1468d0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8C53BB93249747A3E9C8CCBF05B163" ma:contentTypeVersion="14" ma:contentTypeDescription="Create a new document." ma:contentTypeScope="" ma:versionID="e1472f0672e8ce38f6b6ba35dc85d86c">
  <xsd:schema xmlns:xsd="http://www.w3.org/2001/XMLSchema" xmlns:xs="http://www.w3.org/2001/XMLSchema" xmlns:p="http://schemas.microsoft.com/office/2006/metadata/properties" xmlns:ns2="ff04336e-09fa-4e91-9b18-d87f1468d0f2" xmlns:ns3="c05e8845-a69c-4e9c-a143-50df7cacd838" targetNamespace="http://schemas.microsoft.com/office/2006/metadata/properties" ma:root="true" ma:fieldsID="9edb596f744f16fc164f65dd555f823e" ns2:_="" ns3:_="">
    <xsd:import namespace="ff04336e-09fa-4e91-9b18-d87f1468d0f2"/>
    <xsd:import namespace="c05e8845-a69c-4e9c-a143-50df7cacd8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4336e-09fa-4e91-9b18-d87f1468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5357e-f7a7-49f5-8087-f8948ec628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5e8845-a69c-4e9c-a143-50df7cacd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c4d159-83e8-439c-916c-12497e235367}" ma:internalName="TaxCatchAll" ma:showField="CatchAllData" ma:web="c05e8845-a69c-4e9c-a143-50df7cacd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B0728-0D61-4FA9-8F2B-8DAD8911493E}">
  <ds:schemaRefs>
    <ds:schemaRef ds:uri="http://schemas.microsoft.com/sharepoint/v3/contenttype/forms"/>
  </ds:schemaRefs>
</ds:datastoreItem>
</file>

<file path=customXml/itemProps2.xml><?xml version="1.0" encoding="utf-8"?>
<ds:datastoreItem xmlns:ds="http://schemas.openxmlformats.org/officeDocument/2006/customXml" ds:itemID="{51DB8CF9-68FB-404B-B457-DD89243A6985}">
  <ds:schemaRefs>
    <ds:schemaRef ds:uri="http://schemas.microsoft.com/office/2006/metadata/properties"/>
    <ds:schemaRef ds:uri="http://schemas.microsoft.com/office/infopath/2007/PartnerControls"/>
    <ds:schemaRef ds:uri="c05e8845-a69c-4e9c-a143-50df7cacd838"/>
    <ds:schemaRef ds:uri="ff04336e-09fa-4e91-9b18-d87f1468d0f2"/>
  </ds:schemaRefs>
</ds:datastoreItem>
</file>

<file path=customXml/itemProps3.xml><?xml version="1.0" encoding="utf-8"?>
<ds:datastoreItem xmlns:ds="http://schemas.openxmlformats.org/officeDocument/2006/customXml" ds:itemID="{D9B01C61-A312-4D0B-BE06-480B3FA80119}">
  <ds:schemaRefs>
    <ds:schemaRef ds:uri="http://schemas.openxmlformats.org/officeDocument/2006/bibliography"/>
  </ds:schemaRefs>
</ds:datastoreItem>
</file>

<file path=customXml/itemProps4.xml><?xml version="1.0" encoding="utf-8"?>
<ds:datastoreItem xmlns:ds="http://schemas.openxmlformats.org/officeDocument/2006/customXml" ds:itemID="{4ADB602D-9ACF-4F63-A672-8B85813C2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4336e-09fa-4e91-9b18-d87f1468d0f2"/>
    <ds:schemaRef ds:uri="c05e8845-a69c-4e9c-a143-50df7cacd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3632</Words>
  <Characters>20708</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PT_Procurement Polcies_Client Global Procurement Policy_1511255896920</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PT_Procurement Polcies_Client Global Procurement Policy_1511255896920</dc:title>
  <dc:subject/>
  <dc:creator>Adarsh</dc:creator>
  <cp:keywords/>
  <cp:lastModifiedBy>Kaye Faris</cp:lastModifiedBy>
  <cp:revision>2</cp:revision>
  <cp:lastPrinted>2024-11-06T18:51:00Z</cp:lastPrinted>
  <dcterms:created xsi:type="dcterms:W3CDTF">2025-01-03T20:49:00Z</dcterms:created>
  <dcterms:modified xsi:type="dcterms:W3CDTF">2025-01-03T20:49:00Z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0x0101000A8C53BB93249747A3E9C8CCBF05B163</vt:lpwstr>
  </property>
  <property fmtid="{D5CDD505-2E9C-101B-9397-08002B2CF9AE}" pid="3" name="_dlc_DocIdItemGuid">
    <vt:lpwstr>39856bae-06e0-43e0-ab7e-554c9e6d5138</vt:lpwstr>
  </property>
  <property fmtid="{D5CDD505-2E9C-101B-9397-08002B2CF9AE}" pid="4" name="GEPRegion">
    <vt:lpwstr>23;#Global|6c9a5115-e493-4cd2-b284-271a59e8a144</vt:lpwstr>
  </property>
  <property fmtid="{D5CDD505-2E9C-101B-9397-08002B2CF9AE}" pid="5" name="GEPCategory">
    <vt:lpwstr>44;#Not Applicable|f6a66797-3b3b-4ccb-a6d7-048d7cdaa434</vt:lpwstr>
  </property>
  <property fmtid="{D5CDD505-2E9C-101B-9397-08002B2CF9AE}" pid="6" name="MediaServiceImageTags">
    <vt:lpwstr/>
  </property>
</Properties>
</file>