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D259" w14:textId="4F492373" w:rsidR="00244E50" w:rsidRPr="00EB19C3" w:rsidRDefault="00244E50" w:rsidP="00244E50">
      <w:pPr>
        <w:rPr>
          <w:rFonts w:cs="Arial"/>
          <w:b/>
          <w:bCs/>
          <w:color w:val="000000" w:themeColor="text1"/>
        </w:rPr>
      </w:pPr>
      <w:r w:rsidRPr="00EB19C3">
        <w:rPr>
          <w:rFonts w:cs="Arial"/>
          <w:b/>
          <w:bCs/>
          <w:color w:val="000000" w:themeColor="text1"/>
        </w:rPr>
        <w:t>202</w:t>
      </w:r>
      <w:r w:rsidR="00FA528D" w:rsidRPr="00EB19C3">
        <w:rPr>
          <w:rFonts w:cs="Arial"/>
          <w:b/>
          <w:bCs/>
          <w:color w:val="000000" w:themeColor="text1"/>
        </w:rPr>
        <w:t>3</w:t>
      </w:r>
      <w:r w:rsidRPr="00EB19C3">
        <w:rPr>
          <w:rFonts w:cs="Arial"/>
          <w:b/>
          <w:bCs/>
          <w:color w:val="000000" w:themeColor="text1"/>
        </w:rPr>
        <w:t xml:space="preserve"> Pinnacle Awards </w:t>
      </w:r>
    </w:p>
    <w:p w14:paraId="06A88976" w14:textId="705118AE" w:rsidR="00244E50" w:rsidRPr="00EB19C3" w:rsidRDefault="00684FF4" w:rsidP="00244E50">
      <w:pPr>
        <w:rPr>
          <w:rFonts w:cs="Arial"/>
          <w:b/>
          <w:bCs/>
          <w:color w:val="000000" w:themeColor="text1"/>
        </w:rPr>
      </w:pPr>
      <w:r w:rsidRPr="00EB19C3">
        <w:rPr>
          <w:rFonts w:cs="Arial"/>
          <w:b/>
          <w:bCs/>
          <w:color w:val="000000" w:themeColor="text1"/>
        </w:rPr>
        <w:t>Frequently Asked Question</w:t>
      </w:r>
      <w:r w:rsidR="00244E50" w:rsidRPr="00EB19C3">
        <w:rPr>
          <w:rFonts w:cs="Arial"/>
          <w:b/>
          <w:bCs/>
          <w:color w:val="000000" w:themeColor="text1"/>
        </w:rPr>
        <w:t>s</w:t>
      </w:r>
    </w:p>
    <w:p w14:paraId="503F3503" w14:textId="77777777" w:rsidR="00A250B2" w:rsidRPr="00EB19C3" w:rsidRDefault="00A250B2" w:rsidP="00A250B2">
      <w:pPr>
        <w:pStyle w:val="BodyText"/>
        <w:rPr>
          <w:rFonts w:cs="Arial"/>
        </w:rPr>
      </w:pPr>
    </w:p>
    <w:p w14:paraId="23E1A263" w14:textId="6FF834E8" w:rsidR="00A250B2" w:rsidRPr="00EB19C3" w:rsidRDefault="00A250B2" w:rsidP="00A250B2">
      <w:pPr>
        <w:pStyle w:val="BodyText"/>
        <w:rPr>
          <w:rFonts w:cs="Arial"/>
          <w:b/>
        </w:rPr>
      </w:pPr>
      <w:r w:rsidRPr="00EB19C3">
        <w:rPr>
          <w:rFonts w:cs="Arial"/>
          <w:b/>
        </w:rPr>
        <w:t xml:space="preserve">What </w:t>
      </w:r>
      <w:r w:rsidR="00746D6D" w:rsidRPr="00EB19C3">
        <w:rPr>
          <w:rFonts w:cs="Arial"/>
          <w:b/>
        </w:rPr>
        <w:t>are the</w:t>
      </w:r>
      <w:r w:rsidR="00223CD6" w:rsidRPr="00EB19C3">
        <w:rPr>
          <w:rFonts w:cs="Arial"/>
          <w:b/>
        </w:rPr>
        <w:t xml:space="preserve"> Pinnacle </w:t>
      </w:r>
      <w:r w:rsidR="00C22364" w:rsidRPr="00EB19C3">
        <w:rPr>
          <w:rFonts w:cs="Arial"/>
          <w:b/>
        </w:rPr>
        <w:t>Awards</w:t>
      </w:r>
      <w:r w:rsidRPr="00EB19C3">
        <w:rPr>
          <w:rFonts w:cs="Arial"/>
          <w:b/>
        </w:rPr>
        <w:t>?</w:t>
      </w:r>
    </w:p>
    <w:p w14:paraId="5F30E9BA" w14:textId="6860D6CB" w:rsidR="00AF18EC" w:rsidRPr="005D20BC" w:rsidRDefault="00653816" w:rsidP="00A250B2">
      <w:pPr>
        <w:pStyle w:val="BodyText"/>
        <w:rPr>
          <w:rFonts w:cs="Arial"/>
          <w:color w:val="000000" w:themeColor="text1"/>
        </w:rPr>
      </w:pPr>
      <w:r w:rsidRPr="00EB19C3">
        <w:rPr>
          <w:rFonts w:cs="Arial"/>
        </w:rPr>
        <w:t>The</w:t>
      </w:r>
      <w:r w:rsidR="00E54F62" w:rsidRPr="00EB19C3">
        <w:rPr>
          <w:rFonts w:cs="Arial"/>
        </w:rPr>
        <w:t xml:space="preserve"> Pinnacle </w:t>
      </w:r>
      <w:r w:rsidR="00C22364" w:rsidRPr="00EB19C3">
        <w:rPr>
          <w:rFonts w:cs="Arial"/>
        </w:rPr>
        <w:t>Awards</w:t>
      </w:r>
      <w:r w:rsidRPr="00EB19C3">
        <w:rPr>
          <w:rFonts w:cs="Arial"/>
        </w:rPr>
        <w:t xml:space="preserve"> program is </w:t>
      </w:r>
      <w:r w:rsidR="00E54F62" w:rsidRPr="00EB19C3">
        <w:rPr>
          <w:rFonts w:cs="Arial"/>
        </w:rPr>
        <w:t xml:space="preserve">a global recognition program </w:t>
      </w:r>
      <w:r w:rsidR="00E40A54" w:rsidRPr="00EB19C3">
        <w:rPr>
          <w:rFonts w:cs="Arial"/>
          <w:color w:val="000000" w:themeColor="text1"/>
        </w:rPr>
        <w:t xml:space="preserve">that celebrates the one employee or team in each category that best drove </w:t>
      </w:r>
      <w:r w:rsidR="005D20BC">
        <w:rPr>
          <w:rFonts w:cs="Arial"/>
          <w:color w:val="000000" w:themeColor="text1"/>
        </w:rPr>
        <w:t xml:space="preserve">the </w:t>
      </w:r>
      <w:r w:rsidR="00E40A54" w:rsidRPr="00614B30">
        <w:rPr>
          <w:rFonts w:cs="Arial"/>
          <w:color w:val="000000" w:themeColor="text1"/>
        </w:rPr>
        <w:t xml:space="preserve">growth and </w:t>
      </w:r>
      <w:r w:rsidR="005D20BC">
        <w:rPr>
          <w:rFonts w:cs="Arial"/>
          <w:color w:val="000000" w:themeColor="text1"/>
        </w:rPr>
        <w:t>success</w:t>
      </w:r>
      <w:r w:rsidR="00E40A54" w:rsidRPr="00614B30">
        <w:rPr>
          <w:rFonts w:cs="Arial"/>
          <w:color w:val="000000" w:themeColor="text1"/>
        </w:rPr>
        <w:t xml:space="preserve"> of Brink’s over the course of the year.</w:t>
      </w:r>
      <w:r w:rsidR="005D20BC">
        <w:rPr>
          <w:rFonts w:cs="Arial"/>
          <w:color w:val="000000" w:themeColor="text1"/>
        </w:rPr>
        <w:t xml:space="preserve"> </w:t>
      </w:r>
      <w:proofErr w:type="gramStart"/>
      <w:r w:rsidR="00AF18EC" w:rsidRPr="00EB19C3">
        <w:rPr>
          <w:rFonts w:cs="Arial"/>
        </w:rPr>
        <w:t>Pinnacle</w:t>
      </w:r>
      <w:proofErr w:type="gramEnd"/>
      <w:r w:rsidR="00AF18EC" w:rsidRPr="00EB19C3">
        <w:rPr>
          <w:rFonts w:cs="Arial"/>
        </w:rPr>
        <w:t xml:space="preserve"> means “the most successful point,” and describes this program that recognizes the best of the best.</w:t>
      </w:r>
    </w:p>
    <w:p w14:paraId="2B5E9EE5" w14:textId="77777777" w:rsidR="00753131" w:rsidRPr="00EB19C3" w:rsidRDefault="00753131" w:rsidP="00A250B2">
      <w:pPr>
        <w:pStyle w:val="BodyText"/>
        <w:rPr>
          <w:rFonts w:cs="Arial"/>
        </w:rPr>
      </w:pPr>
    </w:p>
    <w:p w14:paraId="54387BCC" w14:textId="2720E958" w:rsidR="00A250B2" w:rsidRPr="00EB19C3" w:rsidRDefault="00A250B2" w:rsidP="00A250B2">
      <w:pPr>
        <w:rPr>
          <w:rFonts w:cs="Arial"/>
          <w:b/>
        </w:rPr>
      </w:pPr>
      <w:r w:rsidRPr="00EB19C3">
        <w:rPr>
          <w:rFonts w:cs="Arial"/>
          <w:b/>
        </w:rPr>
        <w:t xml:space="preserve">Why have </w:t>
      </w:r>
      <w:r w:rsidR="00F453E0" w:rsidRPr="00EB19C3">
        <w:rPr>
          <w:rFonts w:cs="Arial"/>
          <w:b/>
        </w:rPr>
        <w:t xml:space="preserve">the </w:t>
      </w:r>
      <w:r w:rsidR="00E54F62" w:rsidRPr="00EB19C3">
        <w:rPr>
          <w:rFonts w:cs="Arial"/>
          <w:b/>
        </w:rPr>
        <w:t xml:space="preserve">Pinnacle </w:t>
      </w:r>
      <w:r w:rsidR="00C22364" w:rsidRPr="00EB19C3">
        <w:rPr>
          <w:rFonts w:cs="Arial"/>
          <w:b/>
        </w:rPr>
        <w:t>Awards</w:t>
      </w:r>
      <w:r w:rsidRPr="00EB19C3">
        <w:rPr>
          <w:rFonts w:cs="Arial"/>
          <w:b/>
        </w:rPr>
        <w:t>?</w:t>
      </w:r>
    </w:p>
    <w:p w14:paraId="15F22EA8" w14:textId="3CFDCBD7" w:rsidR="00A250B2" w:rsidRPr="00EB19C3" w:rsidRDefault="00E54F62" w:rsidP="00A250B2">
      <w:pPr>
        <w:pStyle w:val="BodyText"/>
        <w:rPr>
          <w:rFonts w:cs="Arial"/>
        </w:rPr>
      </w:pPr>
      <w:r w:rsidRPr="00EB19C3">
        <w:rPr>
          <w:rFonts w:cs="Arial"/>
        </w:rPr>
        <w:t xml:space="preserve">The program was developed </w:t>
      </w:r>
      <w:r w:rsidR="00E72C02">
        <w:rPr>
          <w:rFonts w:cs="Arial"/>
        </w:rPr>
        <w:t xml:space="preserve">in 2019 </w:t>
      </w:r>
      <w:r w:rsidRPr="00EB19C3">
        <w:rPr>
          <w:rFonts w:cs="Arial"/>
        </w:rPr>
        <w:t xml:space="preserve">to celebrate </w:t>
      </w:r>
      <w:r w:rsidR="005D20BC">
        <w:rPr>
          <w:rFonts w:cs="Arial"/>
        </w:rPr>
        <w:t>exceptional employees</w:t>
      </w:r>
      <w:r w:rsidRPr="00EB19C3">
        <w:rPr>
          <w:rFonts w:cs="Arial"/>
        </w:rPr>
        <w:t xml:space="preserve"> with company-wide appreciation, with the goal of encouraging others to help Brink’s accelerate progress on our strategic objectives and build a winning culture.</w:t>
      </w:r>
    </w:p>
    <w:p w14:paraId="06F4ABF1" w14:textId="77777777" w:rsidR="00753131" w:rsidRPr="00EB19C3" w:rsidRDefault="00753131" w:rsidP="00A250B2">
      <w:pPr>
        <w:pStyle w:val="BodyText"/>
        <w:rPr>
          <w:rFonts w:cs="Arial"/>
        </w:rPr>
      </w:pPr>
    </w:p>
    <w:p w14:paraId="7374E5E9" w14:textId="77777777" w:rsidR="00753131" w:rsidRPr="00EB19C3" w:rsidRDefault="00753131" w:rsidP="00A250B2">
      <w:pPr>
        <w:pStyle w:val="BodyText"/>
        <w:rPr>
          <w:rFonts w:cs="Arial"/>
          <w:b/>
        </w:rPr>
      </w:pPr>
      <w:r w:rsidRPr="00EB19C3">
        <w:rPr>
          <w:rFonts w:cs="Arial"/>
          <w:b/>
        </w:rPr>
        <w:t>What are the award categories?</w:t>
      </w:r>
    </w:p>
    <w:p w14:paraId="2A717466" w14:textId="52B97DC4" w:rsidR="002A3321" w:rsidRPr="00EB19C3" w:rsidRDefault="00FA528D" w:rsidP="002A3321">
      <w:pPr>
        <w:rPr>
          <w:rFonts w:eastAsia="Times New Roman" w:cs="Arial"/>
          <w:color w:val="000000"/>
          <w:shd w:val="clear" w:color="auto" w:fill="FFFFFF"/>
        </w:rPr>
      </w:pPr>
      <w:r w:rsidRPr="00EB19C3">
        <w:rPr>
          <w:rFonts w:eastAsia="Times New Roman" w:cs="Arial"/>
          <w:color w:val="000000"/>
          <w:shd w:val="clear" w:color="auto" w:fill="FFFFFF"/>
        </w:rPr>
        <w:t xml:space="preserve">There are six award categories. </w:t>
      </w:r>
      <w:r w:rsidR="00224882" w:rsidRPr="00EB19C3">
        <w:rPr>
          <w:rFonts w:eastAsia="Times New Roman" w:cs="Arial"/>
          <w:color w:val="000000"/>
          <w:shd w:val="clear" w:color="auto" w:fill="FFFFFF"/>
        </w:rPr>
        <w:t xml:space="preserve">The categories have been updated for 2023 to </w:t>
      </w:r>
      <w:r w:rsidR="00926284" w:rsidRPr="00EB19C3">
        <w:rPr>
          <w:rFonts w:eastAsia="Times New Roman" w:cs="Arial"/>
          <w:color w:val="000000"/>
          <w:shd w:val="clear" w:color="auto" w:fill="FFFFFF"/>
        </w:rPr>
        <w:t xml:space="preserve">more closely </w:t>
      </w:r>
      <w:r w:rsidR="00224882" w:rsidRPr="00EB19C3">
        <w:rPr>
          <w:rFonts w:eastAsia="Times New Roman" w:cs="Arial"/>
          <w:color w:val="000000"/>
          <w:shd w:val="clear" w:color="auto" w:fill="FFFFFF"/>
        </w:rPr>
        <w:t xml:space="preserve">align with Brink’s strategy to </w:t>
      </w:r>
      <w:r w:rsidR="00926284" w:rsidRPr="00EB19C3">
        <w:rPr>
          <w:rFonts w:eastAsia="Times New Roman" w:cs="Arial"/>
          <w:color w:val="000000"/>
          <w:shd w:val="clear" w:color="auto" w:fill="FFFFFF"/>
        </w:rPr>
        <w:t>grow by providing a superior customer experience and driving continuous improvement. The categories are:</w:t>
      </w:r>
    </w:p>
    <w:p w14:paraId="32AB5BDA" w14:textId="07B24348" w:rsidR="002A3321" w:rsidRPr="00EB19C3" w:rsidRDefault="002A3321" w:rsidP="00FA528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14B30">
        <w:rPr>
          <w:rFonts w:ascii="Arial" w:hAnsi="Arial" w:cs="Arial"/>
          <w:b/>
          <w:bCs/>
        </w:rPr>
        <w:t>Growth &amp; Customer Loyalty</w:t>
      </w:r>
      <w:r w:rsidR="00A04A64">
        <w:rPr>
          <w:rFonts w:ascii="Arial" w:hAnsi="Arial" w:cs="Arial"/>
        </w:rPr>
        <w:t xml:space="preserve"> – </w:t>
      </w:r>
      <w:r w:rsidR="00E72C02">
        <w:rPr>
          <w:rFonts w:ascii="Arial" w:hAnsi="Arial" w:cs="Arial"/>
        </w:rPr>
        <w:t>S</w:t>
      </w:r>
      <w:r w:rsidR="0048561A" w:rsidRPr="0048561A">
        <w:rPr>
          <w:rFonts w:ascii="Arial" w:hAnsi="Arial" w:cs="Arial"/>
        </w:rPr>
        <w:t>uccess in accelerating growth and improving customer strateg</w:t>
      </w:r>
      <w:r w:rsidR="00A04A64">
        <w:rPr>
          <w:rFonts w:ascii="Arial" w:hAnsi="Arial" w:cs="Arial"/>
        </w:rPr>
        <w:t>y</w:t>
      </w:r>
    </w:p>
    <w:p w14:paraId="54E9FE5D" w14:textId="6957E143" w:rsidR="00FA528D" w:rsidRPr="00EB19C3" w:rsidRDefault="00FA528D" w:rsidP="00FA528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14B30">
        <w:rPr>
          <w:rFonts w:ascii="Arial" w:hAnsi="Arial" w:cs="Arial"/>
          <w:b/>
          <w:bCs/>
          <w:color w:val="000000"/>
        </w:rPr>
        <w:t>Innovation</w:t>
      </w:r>
      <w:r w:rsidR="0048561A">
        <w:rPr>
          <w:rFonts w:ascii="Arial" w:hAnsi="Arial" w:cs="Arial"/>
          <w:color w:val="000000"/>
        </w:rPr>
        <w:t xml:space="preserve"> </w:t>
      </w:r>
      <w:r w:rsidR="00A04A64">
        <w:rPr>
          <w:rFonts w:ascii="Arial" w:hAnsi="Arial" w:cs="Arial"/>
          <w:color w:val="000000"/>
        </w:rPr>
        <w:t xml:space="preserve">– </w:t>
      </w:r>
      <w:r w:rsidR="00E72C02">
        <w:rPr>
          <w:rFonts w:ascii="Arial" w:hAnsi="Arial" w:cs="Arial"/>
          <w:color w:val="000000"/>
        </w:rPr>
        <w:t>U</w:t>
      </w:r>
      <w:r w:rsidR="0048561A" w:rsidRPr="0048561A">
        <w:rPr>
          <w:rFonts w:ascii="Arial" w:hAnsi="Arial" w:cs="Arial"/>
          <w:color w:val="000000"/>
        </w:rPr>
        <w:t>se of global digital solutions to create value</w:t>
      </w:r>
      <w:r w:rsidR="00B6557D">
        <w:rPr>
          <w:rFonts w:ascii="Arial" w:hAnsi="Arial" w:cs="Arial"/>
          <w:color w:val="000000"/>
        </w:rPr>
        <w:t>, address challenges</w:t>
      </w:r>
    </w:p>
    <w:p w14:paraId="2468FDE5" w14:textId="77777777" w:rsidR="00614B30" w:rsidRPr="00614B30" w:rsidRDefault="00FA528D" w:rsidP="00614B30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 w:rsidRPr="00614B30">
        <w:rPr>
          <w:rFonts w:ascii="Arial" w:hAnsi="Arial" w:cs="Arial"/>
          <w:b/>
          <w:bCs/>
          <w:color w:val="000000"/>
        </w:rPr>
        <w:t>Operational Excellence</w:t>
      </w:r>
      <w:r w:rsidR="00B6557D">
        <w:rPr>
          <w:rFonts w:ascii="Arial" w:hAnsi="Arial" w:cs="Arial"/>
          <w:color w:val="000000"/>
        </w:rPr>
        <w:t xml:space="preserve"> </w:t>
      </w:r>
      <w:r w:rsidR="00A04A64">
        <w:rPr>
          <w:rFonts w:ascii="Arial" w:hAnsi="Arial" w:cs="Arial"/>
          <w:color w:val="000000"/>
        </w:rPr>
        <w:softHyphen/>
        <w:t xml:space="preserve">– </w:t>
      </w:r>
      <w:r w:rsidR="00614B30" w:rsidRPr="00614B30">
        <w:rPr>
          <w:rFonts w:ascii="Arial" w:hAnsi="Arial" w:cs="Arial"/>
          <w:color w:val="000000"/>
        </w:rPr>
        <w:t>Use of Lean, knowledge/infrastructure sharing or BBS initiatives to drive continuous improvement or build scale</w:t>
      </w:r>
    </w:p>
    <w:p w14:paraId="774D7832" w14:textId="793E628E" w:rsidR="00FA528D" w:rsidRPr="00EB19C3" w:rsidRDefault="00FA528D" w:rsidP="00FA528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14B30">
        <w:rPr>
          <w:rFonts w:ascii="Arial" w:hAnsi="Arial" w:cs="Arial"/>
          <w:b/>
          <w:bCs/>
          <w:color w:val="000000"/>
        </w:rPr>
        <w:t>Talent</w:t>
      </w:r>
      <w:r w:rsidR="00A04A64">
        <w:rPr>
          <w:rFonts w:ascii="Arial" w:hAnsi="Arial" w:cs="Arial"/>
          <w:color w:val="000000"/>
        </w:rPr>
        <w:t xml:space="preserve"> – </w:t>
      </w:r>
      <w:r w:rsidR="00E72C02">
        <w:rPr>
          <w:rFonts w:ascii="Arial" w:hAnsi="Arial" w:cs="Arial"/>
          <w:color w:val="000000"/>
        </w:rPr>
        <w:t>E</w:t>
      </w:r>
      <w:r w:rsidR="00E72C02" w:rsidRPr="00E72C02">
        <w:rPr>
          <w:rFonts w:ascii="Arial" w:hAnsi="Arial" w:cs="Arial"/>
          <w:color w:val="000000"/>
        </w:rPr>
        <w:t>fforts to attract, develop and empower people</w:t>
      </w:r>
    </w:p>
    <w:p w14:paraId="47B9233A" w14:textId="5CCBC6C5" w:rsidR="00FA528D" w:rsidRPr="00EB19C3" w:rsidRDefault="00FA528D" w:rsidP="00FA528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14B30">
        <w:rPr>
          <w:rFonts w:ascii="Arial" w:hAnsi="Arial" w:cs="Arial"/>
          <w:b/>
          <w:bCs/>
          <w:color w:val="000000"/>
        </w:rPr>
        <w:t>Sustainability</w:t>
      </w:r>
      <w:r w:rsidR="00A04A64">
        <w:rPr>
          <w:rFonts w:ascii="Arial" w:hAnsi="Arial" w:cs="Arial"/>
          <w:color w:val="000000"/>
        </w:rPr>
        <w:t xml:space="preserve"> – </w:t>
      </w:r>
      <w:r w:rsidR="00E72C02" w:rsidRPr="00E72C02">
        <w:rPr>
          <w:rFonts w:ascii="Arial" w:hAnsi="Arial" w:cs="Arial"/>
          <w:color w:val="000000"/>
        </w:rPr>
        <w:t>Significant advances in integrating responsible environmental, social &amp; governance practices</w:t>
      </w:r>
    </w:p>
    <w:p w14:paraId="03E522E5" w14:textId="1840C147" w:rsidR="00FA528D" w:rsidRPr="00A04A64" w:rsidRDefault="00FA528D" w:rsidP="00A04A64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 w:rsidRPr="00614B30">
        <w:rPr>
          <w:rFonts w:ascii="Arial" w:hAnsi="Arial" w:cs="Arial"/>
          <w:b/>
          <w:bCs/>
          <w:color w:val="000000"/>
        </w:rPr>
        <w:t>Ethics &amp; Compliance</w:t>
      </w:r>
      <w:r w:rsidR="00A04A64">
        <w:rPr>
          <w:rFonts w:ascii="Arial" w:hAnsi="Arial" w:cs="Arial"/>
          <w:color w:val="000000"/>
        </w:rPr>
        <w:t xml:space="preserve"> – </w:t>
      </w:r>
      <w:r w:rsidR="00A04A64" w:rsidRPr="00A04A64">
        <w:rPr>
          <w:rFonts w:ascii="Arial" w:hAnsi="Arial" w:cs="Arial"/>
          <w:color w:val="000000"/>
        </w:rPr>
        <w:t>Actions to strengthen our culture of ethics and compliance and embed them into our business</w:t>
      </w:r>
    </w:p>
    <w:p w14:paraId="03D7FB07" w14:textId="77777777" w:rsidR="00AF18EC" w:rsidRPr="00EB19C3" w:rsidRDefault="00AF18EC" w:rsidP="00AF18EC">
      <w:pPr>
        <w:contextualSpacing/>
        <w:rPr>
          <w:rFonts w:cs="Arial"/>
        </w:rPr>
      </w:pPr>
    </w:p>
    <w:p w14:paraId="0140FCCC" w14:textId="5B0EC816" w:rsidR="00A639E7" w:rsidRPr="00EB19C3" w:rsidRDefault="00FA528D" w:rsidP="00A639E7">
      <w:pPr>
        <w:rPr>
          <w:rFonts w:cs="Arial"/>
        </w:rPr>
      </w:pPr>
      <w:r w:rsidRPr="00EB19C3">
        <w:rPr>
          <w:rFonts w:eastAsia="Times New Roman" w:cs="Arial"/>
          <w:color w:val="000000"/>
          <w:shd w:val="clear" w:color="auto" w:fill="FFFFFF"/>
        </w:rPr>
        <w:t xml:space="preserve">Winning nominations will be based on </w:t>
      </w:r>
      <w:r w:rsidR="002A3321" w:rsidRPr="00EB19C3">
        <w:rPr>
          <w:rFonts w:eastAsia="Times New Roman" w:cs="Arial"/>
          <w:color w:val="000000"/>
          <w:shd w:val="clear" w:color="auto" w:fill="FFFFFF"/>
        </w:rPr>
        <w:t>quantitative factors,</w:t>
      </w:r>
      <w:r w:rsidR="00CF2234" w:rsidRPr="00CF2234">
        <w:rPr>
          <w:rFonts w:cs="Arial"/>
        </w:rPr>
        <w:t xml:space="preserve"> </w:t>
      </w:r>
      <w:r w:rsidR="00CF2234" w:rsidRPr="00EB19C3">
        <w:rPr>
          <w:rFonts w:cs="Arial"/>
        </w:rPr>
        <w:t>(e.g., success in accelerating growth</w:t>
      </w:r>
      <w:r w:rsidR="00CF2234">
        <w:rPr>
          <w:rFonts w:cs="Arial"/>
        </w:rPr>
        <w:t>,</w:t>
      </w:r>
      <w:r w:rsidR="00CF2234" w:rsidRPr="00EB19C3">
        <w:rPr>
          <w:rFonts w:cs="Arial"/>
        </w:rPr>
        <w:t xml:space="preserve"> use of global digital solutions to create value, use of Lean/BBS initiatives to drive continuous improvement</w:t>
      </w:r>
      <w:r w:rsidR="00CF2234">
        <w:rPr>
          <w:rFonts w:cs="Arial"/>
        </w:rPr>
        <w:t>, etc.),</w:t>
      </w:r>
      <w:r w:rsidR="002A3321" w:rsidRPr="00EB19C3">
        <w:rPr>
          <w:rFonts w:eastAsia="Times New Roman" w:cs="Arial"/>
          <w:color w:val="000000"/>
          <w:shd w:val="clear" w:color="auto" w:fill="FFFFFF"/>
        </w:rPr>
        <w:t xml:space="preserve"> as well as </w:t>
      </w:r>
      <w:r w:rsidRPr="00EB19C3">
        <w:rPr>
          <w:rFonts w:eastAsia="Times New Roman" w:cs="Arial"/>
          <w:color w:val="000000"/>
          <w:shd w:val="clear" w:color="auto" w:fill="FFFFFF"/>
        </w:rPr>
        <w:t>qualitative factors</w:t>
      </w:r>
      <w:r w:rsidR="002A3321" w:rsidRPr="00EB19C3">
        <w:rPr>
          <w:rFonts w:eastAsia="Times New Roman" w:cs="Arial"/>
          <w:color w:val="000000"/>
          <w:shd w:val="clear" w:color="auto" w:fill="FFFFFF"/>
        </w:rPr>
        <w:t xml:space="preserve">, including </w:t>
      </w:r>
      <w:r w:rsidRPr="00EB19C3">
        <w:rPr>
          <w:rFonts w:eastAsia="Times New Roman" w:cs="Arial"/>
          <w:color w:val="000000"/>
          <w:shd w:val="clear" w:color="auto" w:fill="FFFFFF"/>
        </w:rPr>
        <w:t>customer &amp; employee feedback, obstacles overcome, situational factors, testimonials, shared &amp; adopted best practice, etc</w:t>
      </w:r>
      <w:r w:rsidR="00A639E7" w:rsidRPr="00EB19C3">
        <w:rPr>
          <w:rFonts w:eastAsia="Times New Roman" w:cs="Arial"/>
          <w:color w:val="000000"/>
          <w:shd w:val="clear" w:color="auto" w:fill="FFFFFF"/>
        </w:rPr>
        <w:t>.</w:t>
      </w:r>
    </w:p>
    <w:p w14:paraId="3E3C1945" w14:textId="77777777" w:rsidR="00E54F62" w:rsidRPr="00EB19C3" w:rsidRDefault="00E54F62" w:rsidP="00A250B2">
      <w:pPr>
        <w:pStyle w:val="BodyText"/>
        <w:rPr>
          <w:rFonts w:cs="Arial"/>
        </w:rPr>
      </w:pPr>
    </w:p>
    <w:p w14:paraId="22A23247" w14:textId="53B3D488" w:rsidR="00A250B2" w:rsidRPr="00EB19C3" w:rsidRDefault="00A250B2" w:rsidP="00A250B2">
      <w:pPr>
        <w:pStyle w:val="BodyText"/>
        <w:rPr>
          <w:rFonts w:cs="Arial"/>
          <w:b/>
        </w:rPr>
      </w:pPr>
      <w:r w:rsidRPr="00EB19C3">
        <w:rPr>
          <w:rFonts w:cs="Arial"/>
          <w:b/>
        </w:rPr>
        <w:t>How does the program work?</w:t>
      </w:r>
    </w:p>
    <w:p w14:paraId="436F88D6" w14:textId="35A7F7DE" w:rsidR="00E54F62" w:rsidRPr="00EB19C3" w:rsidRDefault="00E54F62" w:rsidP="00A250B2">
      <w:pPr>
        <w:pStyle w:val="BodyText"/>
        <w:rPr>
          <w:rFonts w:cs="Arial"/>
        </w:rPr>
      </w:pPr>
      <w:r w:rsidRPr="00EB19C3">
        <w:rPr>
          <w:rFonts w:cs="Arial"/>
        </w:rPr>
        <w:t xml:space="preserve">All employees </w:t>
      </w:r>
      <w:r w:rsidR="00A33EC7" w:rsidRPr="00EB19C3">
        <w:rPr>
          <w:rFonts w:cs="Arial"/>
        </w:rPr>
        <w:t>are</w:t>
      </w:r>
      <w:r w:rsidRPr="00EB19C3">
        <w:rPr>
          <w:rFonts w:cs="Arial"/>
        </w:rPr>
        <w:t xml:space="preserve"> invited to nominate </w:t>
      </w:r>
      <w:r w:rsidR="003E5095" w:rsidRPr="00EB19C3">
        <w:rPr>
          <w:rFonts w:cs="Arial"/>
        </w:rPr>
        <w:t xml:space="preserve">their </w:t>
      </w:r>
      <w:r w:rsidRPr="00EB19C3">
        <w:rPr>
          <w:rFonts w:cs="Arial"/>
        </w:rPr>
        <w:t>colleagues throughout every level of the organization, excluding ELT members</w:t>
      </w:r>
      <w:r w:rsidR="00A33EC7" w:rsidRPr="00EB19C3">
        <w:rPr>
          <w:rFonts w:cs="Arial"/>
        </w:rPr>
        <w:t xml:space="preserve">, who they believe </w:t>
      </w:r>
      <w:r w:rsidR="00A33EC7" w:rsidRPr="00EB19C3">
        <w:rPr>
          <w:rFonts w:cs="Arial"/>
          <w:color w:val="000000" w:themeColor="text1"/>
        </w:rPr>
        <w:t xml:space="preserve">best drove growth and the </w:t>
      </w:r>
      <w:r w:rsidR="005D20BC">
        <w:rPr>
          <w:rFonts w:cs="Arial"/>
          <w:color w:val="000000" w:themeColor="text1"/>
        </w:rPr>
        <w:t>success</w:t>
      </w:r>
      <w:r w:rsidR="00A33EC7" w:rsidRPr="00EB19C3">
        <w:rPr>
          <w:rFonts w:cs="Arial"/>
          <w:color w:val="000000" w:themeColor="text1"/>
        </w:rPr>
        <w:t xml:space="preserve"> of Brink’s over the course of the year</w:t>
      </w:r>
      <w:r w:rsidRPr="00EB19C3">
        <w:rPr>
          <w:rFonts w:cs="Arial"/>
        </w:rPr>
        <w:t>. Individuals or teams can be nominated, and teams can be cross-functional within a country</w:t>
      </w:r>
      <w:r w:rsidR="00AF18EC" w:rsidRPr="00EB19C3">
        <w:rPr>
          <w:rFonts w:cs="Arial"/>
        </w:rPr>
        <w:t xml:space="preserve"> or cross-border.</w:t>
      </w:r>
    </w:p>
    <w:p w14:paraId="28E158AE" w14:textId="77777777" w:rsidR="00E54F62" w:rsidRPr="00EB19C3" w:rsidRDefault="00E54F62" w:rsidP="00A250B2">
      <w:pPr>
        <w:pStyle w:val="BodyText"/>
        <w:rPr>
          <w:rFonts w:cs="Arial"/>
        </w:rPr>
      </w:pPr>
    </w:p>
    <w:p w14:paraId="20C3B370" w14:textId="37A13AF4" w:rsidR="00753131" w:rsidRPr="00EB19C3" w:rsidRDefault="00653816" w:rsidP="00A250B2">
      <w:pPr>
        <w:pStyle w:val="BodyText"/>
        <w:rPr>
          <w:rFonts w:cs="Arial"/>
        </w:rPr>
      </w:pPr>
      <w:r w:rsidRPr="00EB19C3">
        <w:rPr>
          <w:rFonts w:cs="Arial"/>
        </w:rPr>
        <w:t>Employees</w:t>
      </w:r>
      <w:r w:rsidR="00250CBA" w:rsidRPr="00EB19C3">
        <w:rPr>
          <w:rFonts w:cs="Arial"/>
        </w:rPr>
        <w:t xml:space="preserve"> may</w:t>
      </w:r>
      <w:r w:rsidRPr="00EB19C3">
        <w:rPr>
          <w:rFonts w:cs="Arial"/>
        </w:rPr>
        <w:t xml:space="preserve"> submit nominations </w:t>
      </w:r>
      <w:r w:rsidR="004E68F4" w:rsidRPr="00EB19C3">
        <w:rPr>
          <w:rFonts w:cs="Arial"/>
        </w:rPr>
        <w:t xml:space="preserve">at </w:t>
      </w:r>
      <w:hyperlink r:id="rId7" w:history="1">
        <w:r w:rsidR="007714CD" w:rsidRPr="00EB19C3">
          <w:rPr>
            <w:rFonts w:eastAsia="Times New Roman" w:cs="Arial"/>
            <w:color w:val="954F72"/>
            <w:u w:val="single"/>
          </w:rPr>
          <w:t>https://brinks.awardsplatform.com</w:t>
        </w:r>
      </w:hyperlink>
      <w:r w:rsidR="00165960" w:rsidRPr="00EB19C3">
        <w:rPr>
          <w:rFonts w:eastAsia="Times New Roman" w:cs="Arial"/>
          <w:color w:val="954F72"/>
        </w:rPr>
        <w:t xml:space="preserve"> </w:t>
      </w:r>
      <w:r w:rsidR="00840017" w:rsidRPr="00EB19C3">
        <w:rPr>
          <w:rFonts w:cs="Arial"/>
        </w:rPr>
        <w:t>until</w:t>
      </w:r>
      <w:r w:rsidRPr="00EB19C3">
        <w:rPr>
          <w:rFonts w:cs="Arial"/>
        </w:rPr>
        <w:t xml:space="preserve"> </w:t>
      </w:r>
      <w:r w:rsidR="00C16E03" w:rsidRPr="00EB19C3">
        <w:rPr>
          <w:rFonts w:cs="Arial"/>
        </w:rPr>
        <w:t>Jan. 1</w:t>
      </w:r>
      <w:r w:rsidR="002A3321" w:rsidRPr="00EB19C3">
        <w:rPr>
          <w:rFonts w:cs="Arial"/>
        </w:rPr>
        <w:t>2</w:t>
      </w:r>
      <w:r w:rsidRPr="00EB19C3">
        <w:rPr>
          <w:rFonts w:cs="Arial"/>
        </w:rPr>
        <w:t>, 202</w:t>
      </w:r>
      <w:r w:rsidR="00FA528D" w:rsidRPr="00EB19C3">
        <w:rPr>
          <w:rFonts w:cs="Arial"/>
        </w:rPr>
        <w:t>4</w:t>
      </w:r>
      <w:r w:rsidRPr="00EB19C3">
        <w:rPr>
          <w:rFonts w:cs="Arial"/>
        </w:rPr>
        <w:t xml:space="preserve">. </w:t>
      </w:r>
      <w:r w:rsidR="000D5680" w:rsidRPr="00EB19C3">
        <w:rPr>
          <w:rFonts w:cs="Arial"/>
        </w:rPr>
        <w:t xml:space="preserve">GMs review local nominations and forward </w:t>
      </w:r>
      <w:r w:rsidR="00D171E9" w:rsidRPr="00EB19C3">
        <w:rPr>
          <w:rFonts w:cs="Arial"/>
        </w:rPr>
        <w:t xml:space="preserve">their </w:t>
      </w:r>
      <w:r w:rsidR="000D5680" w:rsidRPr="00EB19C3">
        <w:rPr>
          <w:rFonts w:cs="Arial"/>
        </w:rPr>
        <w:t xml:space="preserve">top picks to their </w:t>
      </w:r>
      <w:r w:rsidR="00D171E9" w:rsidRPr="00EB19C3">
        <w:rPr>
          <w:rFonts w:cs="Arial"/>
        </w:rPr>
        <w:t>regional or functional leader</w:t>
      </w:r>
      <w:r w:rsidR="00091107" w:rsidRPr="00EB19C3">
        <w:rPr>
          <w:rFonts w:cs="Arial"/>
        </w:rPr>
        <w:t>,</w:t>
      </w:r>
      <w:r w:rsidR="000D5680" w:rsidRPr="00EB19C3">
        <w:rPr>
          <w:rFonts w:cs="Arial"/>
        </w:rPr>
        <w:t xml:space="preserve"> who will choose finalists from their regions/areas to forward </w:t>
      </w:r>
      <w:r w:rsidR="00091107" w:rsidRPr="00EB19C3">
        <w:rPr>
          <w:rFonts w:cs="Arial"/>
        </w:rPr>
        <w:t>to the entire E</w:t>
      </w:r>
      <w:r w:rsidR="001B6A25" w:rsidRPr="00EB19C3">
        <w:rPr>
          <w:rFonts w:cs="Arial"/>
        </w:rPr>
        <w:t xml:space="preserve">xecutive </w:t>
      </w:r>
      <w:proofErr w:type="spellStart"/>
      <w:r w:rsidR="001B6A25" w:rsidRPr="00EB19C3">
        <w:rPr>
          <w:rFonts w:cs="Arial"/>
        </w:rPr>
        <w:t>Leaderhip</w:t>
      </w:r>
      <w:proofErr w:type="spellEnd"/>
      <w:r w:rsidR="001B6A25" w:rsidRPr="00EB19C3">
        <w:rPr>
          <w:rFonts w:cs="Arial"/>
        </w:rPr>
        <w:t xml:space="preserve"> Team (E</w:t>
      </w:r>
      <w:r w:rsidR="00091107" w:rsidRPr="00EB19C3">
        <w:rPr>
          <w:rFonts w:cs="Arial"/>
        </w:rPr>
        <w:t>LT</w:t>
      </w:r>
      <w:r w:rsidR="001B6A25" w:rsidRPr="00EB19C3">
        <w:rPr>
          <w:rFonts w:cs="Arial"/>
        </w:rPr>
        <w:t>)</w:t>
      </w:r>
      <w:r w:rsidR="00091107" w:rsidRPr="00EB19C3">
        <w:rPr>
          <w:rFonts w:cs="Arial"/>
        </w:rPr>
        <w:t xml:space="preserve"> for review. </w:t>
      </w:r>
      <w:r w:rsidR="00D53B31" w:rsidRPr="00EB19C3">
        <w:rPr>
          <w:rFonts w:cs="Arial"/>
        </w:rPr>
        <w:t>Mark Eubanks</w:t>
      </w:r>
      <w:r w:rsidR="007162AE" w:rsidRPr="00EB19C3">
        <w:rPr>
          <w:rFonts w:cs="Arial"/>
        </w:rPr>
        <w:t xml:space="preserve"> will announce the f</w:t>
      </w:r>
      <w:r w:rsidR="004E68F4" w:rsidRPr="00EB19C3">
        <w:rPr>
          <w:rFonts w:cs="Arial"/>
        </w:rPr>
        <w:t>inalists and winners</w:t>
      </w:r>
      <w:r w:rsidRPr="00EB19C3">
        <w:rPr>
          <w:rFonts w:cs="Arial"/>
        </w:rPr>
        <w:t xml:space="preserve">. </w:t>
      </w:r>
    </w:p>
    <w:p w14:paraId="6E14F0B9" w14:textId="77777777" w:rsidR="00653816" w:rsidRPr="00EB19C3" w:rsidRDefault="00653816" w:rsidP="00A250B2">
      <w:pPr>
        <w:pStyle w:val="BodyText"/>
        <w:rPr>
          <w:rFonts w:cs="Arial"/>
        </w:rPr>
      </w:pPr>
    </w:p>
    <w:p w14:paraId="0EC787AA" w14:textId="77777777" w:rsidR="00A250B2" w:rsidRPr="00EB19C3" w:rsidRDefault="00753131" w:rsidP="00A250B2">
      <w:pPr>
        <w:pStyle w:val="BodyText"/>
        <w:rPr>
          <w:rFonts w:cs="Arial"/>
          <w:b/>
        </w:rPr>
      </w:pPr>
      <w:r w:rsidRPr="00EB19C3">
        <w:rPr>
          <w:rFonts w:cs="Arial"/>
          <w:b/>
        </w:rPr>
        <w:t>What</w:t>
      </w:r>
      <w:r w:rsidR="00A250B2" w:rsidRPr="00EB19C3">
        <w:rPr>
          <w:rFonts w:cs="Arial"/>
          <w:b/>
        </w:rPr>
        <w:t xml:space="preserve"> is the reward?</w:t>
      </w:r>
    </w:p>
    <w:p w14:paraId="17AC2C2C" w14:textId="294189C6" w:rsidR="00A250B2" w:rsidRPr="00EB19C3" w:rsidRDefault="0066480F" w:rsidP="00C22364">
      <w:pPr>
        <w:contextualSpacing/>
        <w:rPr>
          <w:rFonts w:cs="Arial"/>
        </w:rPr>
      </w:pPr>
      <w:r w:rsidRPr="00EB19C3">
        <w:rPr>
          <w:rFonts w:cs="Arial"/>
        </w:rPr>
        <w:t>Local</w:t>
      </w:r>
      <w:r w:rsidR="00753131" w:rsidRPr="00EB19C3">
        <w:rPr>
          <w:rFonts w:cs="Arial"/>
        </w:rPr>
        <w:t xml:space="preserve"> celebrations honoring the winners will be held </w:t>
      </w:r>
      <w:r w:rsidR="00C22364" w:rsidRPr="00EB19C3">
        <w:rPr>
          <w:rFonts w:cs="Arial"/>
        </w:rPr>
        <w:t xml:space="preserve">at </w:t>
      </w:r>
      <w:r w:rsidR="003E5095" w:rsidRPr="00EB19C3">
        <w:rPr>
          <w:rFonts w:cs="Arial"/>
        </w:rPr>
        <w:t xml:space="preserve">each </w:t>
      </w:r>
      <w:r w:rsidR="00C22364" w:rsidRPr="00EB19C3">
        <w:rPr>
          <w:rFonts w:cs="Arial"/>
        </w:rPr>
        <w:t>awardee location</w:t>
      </w:r>
      <w:r w:rsidR="00881312" w:rsidRPr="00EB19C3">
        <w:rPr>
          <w:rFonts w:cs="Arial"/>
        </w:rPr>
        <w:t xml:space="preserve">, in accordance with local health and safety </w:t>
      </w:r>
      <w:r w:rsidR="0059646F" w:rsidRPr="00EB19C3">
        <w:rPr>
          <w:rFonts w:cs="Arial"/>
        </w:rPr>
        <w:t>guidelines</w:t>
      </w:r>
      <w:r w:rsidR="00753131" w:rsidRPr="00EB19C3">
        <w:rPr>
          <w:rFonts w:cs="Arial"/>
        </w:rPr>
        <w:t>. Winners will receive a trophy for the</w:t>
      </w:r>
      <w:r w:rsidR="008878D0" w:rsidRPr="00EB19C3">
        <w:rPr>
          <w:rFonts w:cs="Arial"/>
        </w:rPr>
        <w:t>ir</w:t>
      </w:r>
      <w:r w:rsidR="00753131" w:rsidRPr="00EB19C3">
        <w:rPr>
          <w:rFonts w:cs="Arial"/>
        </w:rPr>
        <w:t xml:space="preserve"> branch or </w:t>
      </w:r>
      <w:r w:rsidR="008878D0" w:rsidRPr="00EB19C3">
        <w:rPr>
          <w:rFonts w:cs="Arial"/>
        </w:rPr>
        <w:t xml:space="preserve">head </w:t>
      </w:r>
      <w:r w:rsidR="00753131" w:rsidRPr="00EB19C3">
        <w:rPr>
          <w:rFonts w:cs="Arial"/>
        </w:rPr>
        <w:t xml:space="preserve">office and </w:t>
      </w:r>
      <w:r w:rsidR="008878D0" w:rsidRPr="00EB19C3">
        <w:rPr>
          <w:rFonts w:cs="Arial"/>
        </w:rPr>
        <w:t xml:space="preserve">individual </w:t>
      </w:r>
      <w:r w:rsidR="00753131" w:rsidRPr="00EB19C3">
        <w:rPr>
          <w:rFonts w:cs="Arial"/>
        </w:rPr>
        <w:t>commemorative pins.</w:t>
      </w:r>
    </w:p>
    <w:p w14:paraId="43275C4A" w14:textId="77777777" w:rsidR="00753131" w:rsidRPr="00EB19C3" w:rsidRDefault="00753131" w:rsidP="00A250B2">
      <w:pPr>
        <w:pStyle w:val="BodyText"/>
        <w:rPr>
          <w:rFonts w:cs="Arial"/>
        </w:rPr>
      </w:pPr>
    </w:p>
    <w:p w14:paraId="580C6796" w14:textId="77777777" w:rsidR="00A250B2" w:rsidRPr="00EB19C3" w:rsidRDefault="00A250B2" w:rsidP="00A250B2">
      <w:pPr>
        <w:pStyle w:val="BodyText"/>
        <w:rPr>
          <w:rFonts w:cs="Arial"/>
          <w:b/>
        </w:rPr>
      </w:pPr>
      <w:r w:rsidRPr="00EB19C3">
        <w:rPr>
          <w:rFonts w:cs="Arial"/>
          <w:b/>
        </w:rPr>
        <w:t xml:space="preserve">Can I submit multiple </w:t>
      </w:r>
      <w:r w:rsidR="00753131" w:rsidRPr="00EB19C3">
        <w:rPr>
          <w:rFonts w:cs="Arial"/>
          <w:b/>
        </w:rPr>
        <w:t>nominations</w:t>
      </w:r>
      <w:r w:rsidRPr="00EB19C3">
        <w:rPr>
          <w:rFonts w:cs="Arial"/>
          <w:b/>
        </w:rPr>
        <w:t>?</w:t>
      </w:r>
    </w:p>
    <w:p w14:paraId="6EEEC420" w14:textId="2D50AF21" w:rsidR="00A250B2" w:rsidRPr="00EB19C3" w:rsidRDefault="00A250B2" w:rsidP="00A250B2">
      <w:pPr>
        <w:pStyle w:val="BodyText"/>
        <w:rPr>
          <w:rFonts w:cs="Arial"/>
          <w:color w:val="000000" w:themeColor="text1"/>
        </w:rPr>
      </w:pPr>
      <w:r w:rsidRPr="00EB19C3">
        <w:rPr>
          <w:rFonts w:cs="Arial"/>
        </w:rPr>
        <w:t xml:space="preserve">Yes. </w:t>
      </w:r>
      <w:r w:rsidR="00753131" w:rsidRPr="00EB19C3">
        <w:rPr>
          <w:rFonts w:cs="Arial"/>
        </w:rPr>
        <w:t xml:space="preserve">Employees can submit multiple </w:t>
      </w:r>
      <w:r w:rsidR="00F077D5" w:rsidRPr="00EB19C3">
        <w:rPr>
          <w:rFonts w:cs="Arial"/>
        </w:rPr>
        <w:t xml:space="preserve">unique </w:t>
      </w:r>
      <w:r w:rsidR="00753131" w:rsidRPr="00EB19C3">
        <w:rPr>
          <w:rFonts w:cs="Arial"/>
        </w:rPr>
        <w:t>nominations.</w:t>
      </w:r>
      <w:r w:rsidR="00F077D5" w:rsidRPr="00EB19C3">
        <w:rPr>
          <w:rFonts w:cs="Arial"/>
        </w:rPr>
        <w:t xml:space="preserve"> </w:t>
      </w:r>
      <w:r w:rsidR="00F077D5" w:rsidRPr="00EB19C3">
        <w:rPr>
          <w:rFonts w:cs="Arial"/>
          <w:color w:val="000000" w:themeColor="text1"/>
        </w:rPr>
        <w:t>There is no need to submit more than one nomination for a specific project</w:t>
      </w:r>
      <w:r w:rsidR="00FF7FBC" w:rsidRPr="00EB19C3">
        <w:rPr>
          <w:rFonts w:cs="Arial"/>
          <w:color w:val="000000" w:themeColor="text1"/>
        </w:rPr>
        <w:t xml:space="preserve"> (duplicates will be deleted).</w:t>
      </w:r>
    </w:p>
    <w:p w14:paraId="2D9000C4" w14:textId="77777777" w:rsidR="00E73663" w:rsidRPr="00EB19C3" w:rsidRDefault="00E73663" w:rsidP="00A250B2">
      <w:pPr>
        <w:rPr>
          <w:rFonts w:cs="Arial"/>
          <w:b/>
        </w:rPr>
      </w:pPr>
    </w:p>
    <w:p w14:paraId="087A2CFB" w14:textId="77777777" w:rsidR="00A250B2" w:rsidRPr="00EB19C3" w:rsidRDefault="00A250B2" w:rsidP="00A250B2">
      <w:pPr>
        <w:rPr>
          <w:rFonts w:cs="Arial"/>
          <w:b/>
        </w:rPr>
      </w:pPr>
      <w:r w:rsidRPr="00EB19C3">
        <w:rPr>
          <w:rFonts w:cs="Arial"/>
          <w:b/>
        </w:rPr>
        <w:t>Who is eligible?</w:t>
      </w:r>
    </w:p>
    <w:p w14:paraId="521C617D" w14:textId="79434670" w:rsidR="00A250B2" w:rsidRPr="00EB19C3" w:rsidRDefault="00A250B2" w:rsidP="00A250B2">
      <w:pPr>
        <w:pStyle w:val="Default"/>
      </w:pPr>
      <w:r w:rsidRPr="00EB19C3">
        <w:t>All employees are eligible</w:t>
      </w:r>
      <w:r w:rsidR="003E5095" w:rsidRPr="00EB19C3">
        <w:t>,</w:t>
      </w:r>
      <w:r w:rsidR="00753131" w:rsidRPr="00EB19C3">
        <w:t xml:space="preserve"> </w:t>
      </w:r>
      <w:proofErr w:type="gramStart"/>
      <w:r w:rsidR="00753131" w:rsidRPr="00EB19C3">
        <w:t>with the exception of</w:t>
      </w:r>
      <w:proofErr w:type="gramEnd"/>
      <w:r w:rsidR="00753131" w:rsidRPr="00EB19C3">
        <w:t xml:space="preserve"> ELT members. </w:t>
      </w:r>
    </w:p>
    <w:p w14:paraId="25D4DD1E" w14:textId="77777777" w:rsidR="0033152D" w:rsidRPr="00EB19C3" w:rsidRDefault="0033152D" w:rsidP="00A250B2">
      <w:pPr>
        <w:pStyle w:val="Default"/>
        <w:rPr>
          <w:b/>
        </w:rPr>
      </w:pPr>
    </w:p>
    <w:p w14:paraId="7233802B" w14:textId="77777777" w:rsidR="0033152D" w:rsidRPr="00EB19C3" w:rsidRDefault="0033152D" w:rsidP="00A250B2">
      <w:pPr>
        <w:pStyle w:val="Default"/>
        <w:rPr>
          <w:b/>
        </w:rPr>
      </w:pPr>
      <w:r w:rsidRPr="00EB19C3">
        <w:rPr>
          <w:b/>
        </w:rPr>
        <w:t>How do you nominate an employee or team?</w:t>
      </w:r>
    </w:p>
    <w:p w14:paraId="3CC8DB45" w14:textId="68440176" w:rsidR="0033152D" w:rsidRPr="00EB19C3" w:rsidRDefault="00393A7A" w:rsidP="00A250B2">
      <w:pPr>
        <w:pStyle w:val="Default"/>
      </w:pPr>
      <w:r w:rsidRPr="00EB19C3">
        <w:t xml:space="preserve">To nominate an individual or team, employees complete and submit </w:t>
      </w:r>
      <w:r w:rsidR="0033152D" w:rsidRPr="00EB19C3">
        <w:t>a digital form</w:t>
      </w:r>
      <w:r w:rsidR="00C16E03" w:rsidRPr="00EB19C3">
        <w:t xml:space="preserve"> </w:t>
      </w:r>
      <w:r w:rsidR="00FF7FBC" w:rsidRPr="00EB19C3">
        <w:t xml:space="preserve">at </w:t>
      </w:r>
      <w:hyperlink r:id="rId8" w:history="1">
        <w:r w:rsidR="00FF7FBC" w:rsidRPr="00EB19C3">
          <w:rPr>
            <w:rStyle w:val="Hyperlink"/>
          </w:rPr>
          <w:t>https://brinks.awardsplatform.com</w:t>
        </w:r>
      </w:hyperlink>
      <w:r w:rsidR="00FF7FBC" w:rsidRPr="00EB19C3">
        <w:t>.</w:t>
      </w:r>
      <w:r w:rsidR="00993984" w:rsidRPr="00EB19C3">
        <w:t>*</w:t>
      </w:r>
      <w:r w:rsidRPr="00EB19C3">
        <w:t xml:space="preserve"> The nomination deadline is</w:t>
      </w:r>
      <w:r w:rsidR="00196B18" w:rsidRPr="00EB19C3">
        <w:t xml:space="preserve"> </w:t>
      </w:r>
      <w:r w:rsidR="00C16E03" w:rsidRPr="00EB19C3">
        <w:t>Jan. 1</w:t>
      </w:r>
      <w:r w:rsidR="00A639E7" w:rsidRPr="00EB19C3">
        <w:t>2</w:t>
      </w:r>
      <w:r w:rsidR="00C16E03" w:rsidRPr="00EB19C3">
        <w:t xml:space="preserve">, </w:t>
      </w:r>
      <w:r w:rsidR="00196B18" w:rsidRPr="00EB19C3">
        <w:t>202</w:t>
      </w:r>
      <w:r w:rsidR="00A639E7" w:rsidRPr="00EB19C3">
        <w:t>4</w:t>
      </w:r>
      <w:r w:rsidR="00196B18" w:rsidRPr="00EB19C3">
        <w:t>.</w:t>
      </w:r>
      <w:r w:rsidR="0033152D" w:rsidRPr="00EB19C3">
        <w:t xml:space="preserve"> </w:t>
      </w:r>
    </w:p>
    <w:p w14:paraId="0090C468" w14:textId="77777777" w:rsidR="00A250B2" w:rsidRPr="00EB19C3" w:rsidRDefault="00A250B2" w:rsidP="00A250B2">
      <w:pPr>
        <w:pStyle w:val="Default"/>
      </w:pPr>
    </w:p>
    <w:p w14:paraId="4CCB7131" w14:textId="0EC50620" w:rsidR="00F060A4" w:rsidRPr="00EB19C3" w:rsidRDefault="00393A7A" w:rsidP="00A250B2">
      <w:pPr>
        <w:pStyle w:val="Default"/>
        <w:rPr>
          <w:b/>
        </w:rPr>
      </w:pPr>
      <w:r w:rsidRPr="00EB19C3">
        <w:rPr>
          <w:b/>
        </w:rPr>
        <w:t>How are the winners chosen</w:t>
      </w:r>
      <w:r w:rsidR="00F060A4" w:rsidRPr="00EB19C3">
        <w:rPr>
          <w:b/>
        </w:rPr>
        <w:t>?</w:t>
      </w:r>
    </w:p>
    <w:p w14:paraId="08419E15" w14:textId="634A0460" w:rsidR="00915B69" w:rsidRPr="00EB19C3" w:rsidRDefault="003E5095" w:rsidP="003E5095">
      <w:pPr>
        <w:contextualSpacing/>
        <w:rPr>
          <w:rFonts w:cs="Arial"/>
        </w:rPr>
      </w:pPr>
      <w:r w:rsidRPr="00EB19C3">
        <w:rPr>
          <w:rFonts w:cs="Arial"/>
        </w:rPr>
        <w:t xml:space="preserve">Winning nominations will be based on measurable performance (e.g., </w:t>
      </w:r>
      <w:r w:rsidR="00A639E7" w:rsidRPr="00EB19C3">
        <w:rPr>
          <w:rFonts w:cs="Arial"/>
        </w:rPr>
        <w:t xml:space="preserve">success in accelerating growth and improving customer strategy, use of global digital solutions to create value, </w:t>
      </w:r>
      <w:r w:rsidR="00915B69" w:rsidRPr="00EB19C3">
        <w:rPr>
          <w:rFonts w:cs="Arial"/>
        </w:rPr>
        <w:t xml:space="preserve">use of Lean/BBS initiatives to drive continuous improvement, efforts to attract, develop and empower people) </w:t>
      </w:r>
      <w:r w:rsidRPr="00EB19C3">
        <w:rPr>
          <w:rFonts w:cs="Arial"/>
        </w:rPr>
        <w:t xml:space="preserve">and qualitative factors (e.g., </w:t>
      </w:r>
      <w:r w:rsidR="00915B69" w:rsidRPr="00EB19C3">
        <w:rPr>
          <w:rFonts w:cs="Arial"/>
        </w:rPr>
        <w:t>customer &amp; employee feedback, obstacles overcome, shared &amp; adopted best practice)</w:t>
      </w:r>
      <w:r w:rsidR="00094169">
        <w:rPr>
          <w:rFonts w:cs="Arial"/>
        </w:rPr>
        <w:t>.</w:t>
      </w:r>
    </w:p>
    <w:p w14:paraId="033011A0" w14:textId="77777777" w:rsidR="003E5095" w:rsidRPr="00EB19C3" w:rsidRDefault="003E5095" w:rsidP="00A250B2">
      <w:pPr>
        <w:pStyle w:val="Default"/>
      </w:pPr>
    </w:p>
    <w:p w14:paraId="33C25379" w14:textId="45E80C9C" w:rsidR="00F060A4" w:rsidRPr="00EB19C3" w:rsidRDefault="004C39F5" w:rsidP="00A250B2">
      <w:pPr>
        <w:pStyle w:val="Default"/>
      </w:pPr>
      <w:r w:rsidRPr="00EB19C3">
        <w:t>GMs review all nominations and advance their selections to their r</w:t>
      </w:r>
      <w:r w:rsidR="00F060A4" w:rsidRPr="00EB19C3">
        <w:t>egional</w:t>
      </w:r>
      <w:r w:rsidR="00441EF0" w:rsidRPr="00EB19C3">
        <w:t xml:space="preserve"> or functional</w:t>
      </w:r>
      <w:r w:rsidR="00F060A4" w:rsidRPr="00EB19C3">
        <w:t xml:space="preserve"> </w:t>
      </w:r>
      <w:r w:rsidRPr="00EB19C3">
        <w:t>leader, who</w:t>
      </w:r>
      <w:r w:rsidR="00F060A4" w:rsidRPr="00EB19C3">
        <w:t xml:space="preserve"> will </w:t>
      </w:r>
      <w:r w:rsidRPr="00EB19C3">
        <w:t xml:space="preserve">decide which nominations to </w:t>
      </w:r>
      <w:r w:rsidR="00F060A4" w:rsidRPr="00EB19C3">
        <w:t>submit to the ELT for final selection.</w:t>
      </w:r>
      <w:r w:rsidR="003E5095" w:rsidRPr="00EB19C3">
        <w:t xml:space="preserve"> </w:t>
      </w:r>
      <w:r w:rsidR="00D53B31" w:rsidRPr="00EB19C3">
        <w:t xml:space="preserve">Mark Eubanks </w:t>
      </w:r>
      <w:r w:rsidR="00441EF0" w:rsidRPr="00EB19C3">
        <w:t xml:space="preserve">will </w:t>
      </w:r>
      <w:r w:rsidR="00F060A4" w:rsidRPr="00EB19C3">
        <w:t>select one winner (individual or team) per category based on evaluating criteria.</w:t>
      </w:r>
    </w:p>
    <w:p w14:paraId="410912C3" w14:textId="77777777" w:rsidR="00F060A4" w:rsidRPr="00EB19C3" w:rsidRDefault="00F060A4" w:rsidP="00A250B2">
      <w:pPr>
        <w:pStyle w:val="Default"/>
      </w:pPr>
    </w:p>
    <w:p w14:paraId="14219976" w14:textId="51C90B73" w:rsidR="00E837EB" w:rsidRPr="00EB19C3" w:rsidRDefault="00393A7A" w:rsidP="00A250B2">
      <w:pPr>
        <w:pStyle w:val="Default"/>
        <w:rPr>
          <w:b/>
        </w:rPr>
      </w:pPr>
      <w:r w:rsidRPr="00EB19C3">
        <w:rPr>
          <w:b/>
        </w:rPr>
        <w:t>Does</w:t>
      </w:r>
      <w:r w:rsidR="00E837EB" w:rsidRPr="00EB19C3">
        <w:rPr>
          <w:b/>
        </w:rPr>
        <w:t xml:space="preserve"> the Pinnacle </w:t>
      </w:r>
      <w:r w:rsidR="00C22364" w:rsidRPr="00EB19C3">
        <w:rPr>
          <w:b/>
        </w:rPr>
        <w:t>Awards</w:t>
      </w:r>
      <w:r w:rsidR="00E837EB" w:rsidRPr="00EB19C3">
        <w:rPr>
          <w:b/>
        </w:rPr>
        <w:t xml:space="preserve"> replace existing recognition programs?</w:t>
      </w:r>
    </w:p>
    <w:p w14:paraId="6644848C" w14:textId="00DE5E81" w:rsidR="00173408" w:rsidRPr="005D20BC" w:rsidRDefault="00E837EB" w:rsidP="00393A7A">
      <w:pPr>
        <w:pStyle w:val="Default"/>
        <w:rPr>
          <w:color w:val="000000" w:themeColor="text1"/>
        </w:rPr>
      </w:pPr>
      <w:r w:rsidRPr="00EB19C3">
        <w:rPr>
          <w:bCs/>
        </w:rPr>
        <w:t xml:space="preserve">The Pinnacle </w:t>
      </w:r>
      <w:r w:rsidR="00C22364" w:rsidRPr="00EB19C3">
        <w:rPr>
          <w:bCs/>
        </w:rPr>
        <w:t>Awards do</w:t>
      </w:r>
      <w:r w:rsidRPr="00EB19C3">
        <w:rPr>
          <w:bCs/>
        </w:rPr>
        <w:t xml:space="preserve"> not replace any local/country recognition programs already in place. </w:t>
      </w:r>
      <w:r w:rsidR="00A33EC7" w:rsidRPr="00EB19C3">
        <w:rPr>
          <w:bCs/>
        </w:rPr>
        <w:t xml:space="preserve">They are </w:t>
      </w:r>
      <w:r w:rsidR="00A33EC7" w:rsidRPr="00EB19C3">
        <w:rPr>
          <w:color w:val="000000" w:themeColor="text1"/>
        </w:rPr>
        <w:t xml:space="preserve">supplemental to other existing programs and are designed to globally recognize break-through and transformational contributions. </w:t>
      </w:r>
      <w:r w:rsidRPr="00EB19C3">
        <w:rPr>
          <w:bCs/>
        </w:rPr>
        <w:t>Recognition award winners and nominees from local recognition programs are eligible to be resubmitted through this process.</w:t>
      </w:r>
    </w:p>
    <w:p w14:paraId="5AE058A8" w14:textId="77777777" w:rsidR="007F069B" w:rsidRPr="00EB19C3" w:rsidRDefault="007F069B" w:rsidP="00393A7A">
      <w:pPr>
        <w:pStyle w:val="Default"/>
        <w:rPr>
          <w:bCs/>
        </w:rPr>
      </w:pPr>
    </w:p>
    <w:sectPr w:rsidR="007F069B" w:rsidRPr="00EB19C3" w:rsidSect="00B03987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9DBB8" w14:textId="77777777" w:rsidR="003F64FF" w:rsidRDefault="003F64FF" w:rsidP="00A250B2">
      <w:r>
        <w:separator/>
      </w:r>
    </w:p>
  </w:endnote>
  <w:endnote w:type="continuationSeparator" w:id="0">
    <w:p w14:paraId="61DB3301" w14:textId="77777777" w:rsidR="003F64FF" w:rsidRDefault="003F64FF" w:rsidP="00A2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ystem Font Regular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9847797"/>
      <w:docPartObj>
        <w:docPartGallery w:val="Page Numbers (Bottom of Page)"/>
        <w:docPartUnique/>
      </w:docPartObj>
    </w:sdtPr>
    <w:sdtContent>
      <w:p w14:paraId="2C090FEB" w14:textId="77777777" w:rsidR="00A250B2" w:rsidRDefault="00A250B2" w:rsidP="00C0199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B46842" w14:textId="77777777" w:rsidR="00A250B2" w:rsidRDefault="00A250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29115732"/>
      <w:docPartObj>
        <w:docPartGallery w:val="Page Numbers (Bottom of Page)"/>
        <w:docPartUnique/>
      </w:docPartObj>
    </w:sdtPr>
    <w:sdtContent>
      <w:p w14:paraId="30DDF022" w14:textId="78A54A19" w:rsidR="00A250B2" w:rsidRDefault="00A250B2" w:rsidP="00C0199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6596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D5204E5" w14:textId="77777777" w:rsidR="00A250B2" w:rsidRDefault="00A25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7A2AC" w14:textId="77777777" w:rsidR="003F64FF" w:rsidRDefault="003F64FF" w:rsidP="00A250B2">
      <w:r>
        <w:separator/>
      </w:r>
    </w:p>
  </w:footnote>
  <w:footnote w:type="continuationSeparator" w:id="0">
    <w:p w14:paraId="2DCEFC8C" w14:textId="77777777" w:rsidR="003F64FF" w:rsidRDefault="003F64FF" w:rsidP="00A25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73747"/>
    <w:multiLevelType w:val="hybridMultilevel"/>
    <w:tmpl w:val="4F1EA04C"/>
    <w:lvl w:ilvl="0" w:tplc="C232885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D0D0A"/>
    <w:multiLevelType w:val="hybridMultilevel"/>
    <w:tmpl w:val="ED2095F8"/>
    <w:lvl w:ilvl="0" w:tplc="B53AE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70A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A3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126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661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46F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02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9E3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F26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A2E2FDB"/>
    <w:multiLevelType w:val="hybridMultilevel"/>
    <w:tmpl w:val="36500EF6"/>
    <w:lvl w:ilvl="0" w:tplc="59B29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40B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406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E25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262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8A4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5EE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4D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104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690BEA"/>
    <w:multiLevelType w:val="hybridMultilevel"/>
    <w:tmpl w:val="72386136"/>
    <w:lvl w:ilvl="0" w:tplc="E0B2C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C04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2C9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F03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844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6AD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627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326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92C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3E43A2B"/>
    <w:multiLevelType w:val="hybridMultilevel"/>
    <w:tmpl w:val="6F661CDE"/>
    <w:lvl w:ilvl="0" w:tplc="3E4072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A4A8E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1F685F"/>
    <w:multiLevelType w:val="hybridMultilevel"/>
    <w:tmpl w:val="C200F444"/>
    <w:lvl w:ilvl="0" w:tplc="54222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ystem Font Regular" w:hAnsi="System Font Regular" w:hint="default"/>
      </w:rPr>
    </w:lvl>
    <w:lvl w:ilvl="1" w:tplc="D400A9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ystem Font Regular" w:hAnsi="System Font Regular" w:hint="default"/>
      </w:rPr>
    </w:lvl>
    <w:lvl w:ilvl="2" w:tplc="AC48EF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ystem Font Regular" w:hAnsi="System Font Regular" w:hint="default"/>
      </w:rPr>
    </w:lvl>
    <w:lvl w:ilvl="3" w:tplc="633A28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ystem Font Regular" w:hAnsi="System Font Regular" w:hint="default"/>
      </w:rPr>
    </w:lvl>
    <w:lvl w:ilvl="4" w:tplc="BCDAAD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ystem Font Regular" w:hAnsi="System Font Regular" w:hint="default"/>
      </w:rPr>
    </w:lvl>
    <w:lvl w:ilvl="5" w:tplc="A1385B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System Font Regular" w:hAnsi="System Font Regular" w:hint="default"/>
      </w:rPr>
    </w:lvl>
    <w:lvl w:ilvl="6" w:tplc="CF90451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System Font Regular" w:hAnsi="System Font Regular" w:hint="default"/>
      </w:rPr>
    </w:lvl>
    <w:lvl w:ilvl="7" w:tplc="9A3460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System Font Regular" w:hAnsi="System Font Regular" w:hint="default"/>
      </w:rPr>
    </w:lvl>
    <w:lvl w:ilvl="8" w:tplc="E5A80FE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System Font Regular" w:hAnsi="System Font Regular" w:hint="default"/>
      </w:rPr>
    </w:lvl>
  </w:abstractNum>
  <w:abstractNum w:abstractNumId="6" w15:restartNumberingAfterBreak="0">
    <w:nsid w:val="5C0E5444"/>
    <w:multiLevelType w:val="hybridMultilevel"/>
    <w:tmpl w:val="E30614AA"/>
    <w:lvl w:ilvl="0" w:tplc="09044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A0DE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C2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7A7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462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CD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48A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900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820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ACC6BCA"/>
    <w:multiLevelType w:val="hybridMultilevel"/>
    <w:tmpl w:val="EEAA8372"/>
    <w:lvl w:ilvl="0" w:tplc="305E15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427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2E3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EB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D2A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A6F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322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EF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1C0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C9A1B1F"/>
    <w:multiLevelType w:val="hybridMultilevel"/>
    <w:tmpl w:val="507046D0"/>
    <w:lvl w:ilvl="0" w:tplc="EED62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A2A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7A5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52D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EA1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2ED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E5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042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8B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EFD3F6C"/>
    <w:multiLevelType w:val="hybridMultilevel"/>
    <w:tmpl w:val="140C8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219595">
    <w:abstractNumId w:val="0"/>
  </w:num>
  <w:num w:numId="2" w16cid:durableId="1314066835">
    <w:abstractNumId w:val="2"/>
  </w:num>
  <w:num w:numId="3" w16cid:durableId="1500581665">
    <w:abstractNumId w:val="1"/>
  </w:num>
  <w:num w:numId="4" w16cid:durableId="758671470">
    <w:abstractNumId w:val="9"/>
  </w:num>
  <w:num w:numId="5" w16cid:durableId="335226264">
    <w:abstractNumId w:val="6"/>
  </w:num>
  <w:num w:numId="6" w16cid:durableId="1673217665">
    <w:abstractNumId w:val="8"/>
  </w:num>
  <w:num w:numId="7" w16cid:durableId="10840084">
    <w:abstractNumId w:val="4"/>
  </w:num>
  <w:num w:numId="8" w16cid:durableId="1883205743">
    <w:abstractNumId w:val="5"/>
  </w:num>
  <w:num w:numId="9" w16cid:durableId="304243233">
    <w:abstractNumId w:val="3"/>
  </w:num>
  <w:num w:numId="10" w16cid:durableId="19548229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0B2"/>
    <w:rsid w:val="00014A44"/>
    <w:rsid w:val="00060491"/>
    <w:rsid w:val="00091107"/>
    <w:rsid w:val="0009142B"/>
    <w:rsid w:val="00094169"/>
    <w:rsid w:val="00097D0D"/>
    <w:rsid w:val="000A0B2C"/>
    <w:rsid w:val="000C0447"/>
    <w:rsid w:val="000D5680"/>
    <w:rsid w:val="000F7A93"/>
    <w:rsid w:val="001063F1"/>
    <w:rsid w:val="00124880"/>
    <w:rsid w:val="00144EF0"/>
    <w:rsid w:val="00165960"/>
    <w:rsid w:val="00173381"/>
    <w:rsid w:val="00173408"/>
    <w:rsid w:val="00196B18"/>
    <w:rsid w:val="001A6CF1"/>
    <w:rsid w:val="001B2BF9"/>
    <w:rsid w:val="001B6A25"/>
    <w:rsid w:val="001D2531"/>
    <w:rsid w:val="001F2F60"/>
    <w:rsid w:val="001F4D6C"/>
    <w:rsid w:val="00201C67"/>
    <w:rsid w:val="002038E8"/>
    <w:rsid w:val="00216D92"/>
    <w:rsid w:val="00223CD6"/>
    <w:rsid w:val="00224882"/>
    <w:rsid w:val="00242B35"/>
    <w:rsid w:val="00244E50"/>
    <w:rsid w:val="00250CBA"/>
    <w:rsid w:val="00254EB4"/>
    <w:rsid w:val="00293885"/>
    <w:rsid w:val="002940D8"/>
    <w:rsid w:val="002A3321"/>
    <w:rsid w:val="002B1F5C"/>
    <w:rsid w:val="003017CE"/>
    <w:rsid w:val="00310594"/>
    <w:rsid w:val="003135E4"/>
    <w:rsid w:val="00316C74"/>
    <w:rsid w:val="0033152D"/>
    <w:rsid w:val="003369C5"/>
    <w:rsid w:val="003550BC"/>
    <w:rsid w:val="00393A7A"/>
    <w:rsid w:val="003C3125"/>
    <w:rsid w:val="003E1CDC"/>
    <w:rsid w:val="003E5095"/>
    <w:rsid w:val="003F64FF"/>
    <w:rsid w:val="00406524"/>
    <w:rsid w:val="00425633"/>
    <w:rsid w:val="00426BC6"/>
    <w:rsid w:val="00441EF0"/>
    <w:rsid w:val="00467F59"/>
    <w:rsid w:val="0048561A"/>
    <w:rsid w:val="004B7118"/>
    <w:rsid w:val="004C39F5"/>
    <w:rsid w:val="004E2658"/>
    <w:rsid w:val="004E68F4"/>
    <w:rsid w:val="004F6E4D"/>
    <w:rsid w:val="00532B98"/>
    <w:rsid w:val="00567827"/>
    <w:rsid w:val="005717D5"/>
    <w:rsid w:val="00582072"/>
    <w:rsid w:val="0059646F"/>
    <w:rsid w:val="005979D3"/>
    <w:rsid w:val="005A1EB6"/>
    <w:rsid w:val="005D20BC"/>
    <w:rsid w:val="005D4F1E"/>
    <w:rsid w:val="005F4240"/>
    <w:rsid w:val="00614B30"/>
    <w:rsid w:val="0062347A"/>
    <w:rsid w:val="00631D77"/>
    <w:rsid w:val="00653816"/>
    <w:rsid w:val="0066480F"/>
    <w:rsid w:val="00684FF4"/>
    <w:rsid w:val="0069562E"/>
    <w:rsid w:val="006A6FDC"/>
    <w:rsid w:val="006D5E34"/>
    <w:rsid w:val="007162AE"/>
    <w:rsid w:val="0073302C"/>
    <w:rsid w:val="00746D6D"/>
    <w:rsid w:val="00753131"/>
    <w:rsid w:val="007714CD"/>
    <w:rsid w:val="007C77DB"/>
    <w:rsid w:val="007F069B"/>
    <w:rsid w:val="00840017"/>
    <w:rsid w:val="00881312"/>
    <w:rsid w:val="008878D0"/>
    <w:rsid w:val="008B07AE"/>
    <w:rsid w:val="008D7DB7"/>
    <w:rsid w:val="008F736A"/>
    <w:rsid w:val="00915B69"/>
    <w:rsid w:val="00924E08"/>
    <w:rsid w:val="00926284"/>
    <w:rsid w:val="009272BD"/>
    <w:rsid w:val="00993984"/>
    <w:rsid w:val="009C235E"/>
    <w:rsid w:val="009F6A39"/>
    <w:rsid w:val="00A04A64"/>
    <w:rsid w:val="00A250B2"/>
    <w:rsid w:val="00A33EC7"/>
    <w:rsid w:val="00A639E7"/>
    <w:rsid w:val="00A665DC"/>
    <w:rsid w:val="00AA7E71"/>
    <w:rsid w:val="00AF18EC"/>
    <w:rsid w:val="00B03987"/>
    <w:rsid w:val="00B43D0E"/>
    <w:rsid w:val="00B44E70"/>
    <w:rsid w:val="00B6557D"/>
    <w:rsid w:val="00B722D9"/>
    <w:rsid w:val="00B850FC"/>
    <w:rsid w:val="00B91A38"/>
    <w:rsid w:val="00B925B5"/>
    <w:rsid w:val="00BB6E94"/>
    <w:rsid w:val="00BD2F20"/>
    <w:rsid w:val="00C16E03"/>
    <w:rsid w:val="00C22364"/>
    <w:rsid w:val="00C346B8"/>
    <w:rsid w:val="00C919A0"/>
    <w:rsid w:val="00CB14EC"/>
    <w:rsid w:val="00CC1C07"/>
    <w:rsid w:val="00CF2234"/>
    <w:rsid w:val="00D171E9"/>
    <w:rsid w:val="00D23E67"/>
    <w:rsid w:val="00D315BD"/>
    <w:rsid w:val="00D53B31"/>
    <w:rsid w:val="00D57DCC"/>
    <w:rsid w:val="00D91D82"/>
    <w:rsid w:val="00DD311D"/>
    <w:rsid w:val="00E131CA"/>
    <w:rsid w:val="00E227F6"/>
    <w:rsid w:val="00E40A54"/>
    <w:rsid w:val="00E411E8"/>
    <w:rsid w:val="00E54F62"/>
    <w:rsid w:val="00E61217"/>
    <w:rsid w:val="00E72C02"/>
    <w:rsid w:val="00E73663"/>
    <w:rsid w:val="00E837EB"/>
    <w:rsid w:val="00EB19C3"/>
    <w:rsid w:val="00EB4876"/>
    <w:rsid w:val="00EB707D"/>
    <w:rsid w:val="00ED31E5"/>
    <w:rsid w:val="00F00A33"/>
    <w:rsid w:val="00F060A4"/>
    <w:rsid w:val="00F077D5"/>
    <w:rsid w:val="00F453E0"/>
    <w:rsid w:val="00F9242F"/>
    <w:rsid w:val="00FA528D"/>
    <w:rsid w:val="00FB6115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AFE6D"/>
  <w15:chartTrackingRefBased/>
  <w15:docId w15:val="{B3FDB6A6-9C75-5A40-8CF4-A7E7AD3D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hudy Body Text"/>
    <w:next w:val="BodyText"/>
    <w:qFormat/>
    <w:rsid w:val="00A250B2"/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A250B2"/>
  </w:style>
  <w:style w:type="character" w:customStyle="1" w:styleId="BodyTextChar">
    <w:name w:val="Body Text Char"/>
    <w:basedOn w:val="DefaultParagraphFont"/>
    <w:link w:val="BodyText"/>
    <w:uiPriority w:val="99"/>
    <w:rsid w:val="00A250B2"/>
    <w:rPr>
      <w:rFonts w:ascii="Arial" w:eastAsiaTheme="minorEastAsia" w:hAnsi="Arial"/>
    </w:rPr>
  </w:style>
  <w:style w:type="paragraph" w:customStyle="1" w:styleId="Default">
    <w:name w:val="Default"/>
    <w:rsid w:val="00A250B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250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0B2"/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A250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0B2"/>
    <w:rPr>
      <w:rFonts w:ascii="Arial" w:eastAsiaTheme="minorEastAsia" w:hAnsi="Arial"/>
    </w:rPr>
  </w:style>
  <w:style w:type="character" w:styleId="PageNumber">
    <w:name w:val="page number"/>
    <w:basedOn w:val="DefaultParagraphFont"/>
    <w:uiPriority w:val="99"/>
    <w:semiHidden/>
    <w:unhideWhenUsed/>
    <w:rsid w:val="00A250B2"/>
  </w:style>
  <w:style w:type="table" w:customStyle="1" w:styleId="TableGrid1">
    <w:name w:val="Table Grid1"/>
    <w:basedOn w:val="TableNormal"/>
    <w:next w:val="TableGrid"/>
    <w:uiPriority w:val="39"/>
    <w:rsid w:val="003E509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E5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56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F7F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7F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3B3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D2F20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A528D"/>
    <w:rPr>
      <w:b/>
      <w:bCs/>
    </w:rPr>
  </w:style>
  <w:style w:type="character" w:customStyle="1" w:styleId="apple-converted-space">
    <w:name w:val="apple-converted-space"/>
    <w:basedOn w:val="DefaultParagraphFont"/>
    <w:rsid w:val="00FA5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90883">
          <w:marLeft w:val="634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350">
          <w:marLeft w:val="634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9769">
          <w:marLeft w:val="634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80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29416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3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564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8143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1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0149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2572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3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inks.awardsplatfor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inks.awardsplatform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808</Words>
  <Characters>3735</Characters>
  <Application>Microsoft Office Word</Application>
  <DocSecurity>0</DocSecurity>
  <Lines>62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van Esselstyn</dc:creator>
  <cp:keywords/>
  <dc:description/>
  <cp:lastModifiedBy>Pam Girardo</cp:lastModifiedBy>
  <cp:revision>3</cp:revision>
  <dcterms:created xsi:type="dcterms:W3CDTF">2023-10-27T19:07:00Z</dcterms:created>
  <dcterms:modified xsi:type="dcterms:W3CDTF">2023-10-27T19:14:00Z</dcterms:modified>
</cp:coreProperties>
</file>