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4A0" w:firstRow="1" w:lastRow="0" w:firstColumn="1" w:lastColumn="0" w:noHBand="0" w:noVBand="1"/>
      </w:tblPr>
      <w:tblGrid>
        <w:gridCol w:w="6750"/>
        <w:gridCol w:w="2600"/>
      </w:tblGrid>
      <w:tr w:rsidR="00DD477E" w14:paraId="177B5CA2" w14:textId="77777777" w:rsidTr="00A33C88">
        <w:tc>
          <w:tcPr>
            <w:tcW w:w="9350" w:type="dxa"/>
            <w:gridSpan w:val="2"/>
            <w:tcBorders>
              <w:bottom w:val="single" w:sz="8" w:space="0" w:color="2A4A83"/>
            </w:tcBorders>
            <w:tcMar>
              <w:top w:w="158" w:type="dxa"/>
            </w:tcMar>
          </w:tcPr>
          <w:p w14:paraId="3CF17DFE" w14:textId="4BFF16D8" w:rsidR="00DD477E" w:rsidRPr="006B7DF5" w:rsidRDefault="009D3A4B" w:rsidP="00A33C88">
            <w:pPr>
              <w:pStyle w:val="PressReleaseheader"/>
              <w:jc w:val="left"/>
              <w:rPr>
                <w:noProof/>
                <w:sz w:val="18"/>
                <w:szCs w:val="18"/>
              </w:rPr>
            </w:pPr>
            <w:r w:rsidRPr="007A7D7D">
              <w:rPr>
                <w:b w:val="0"/>
                <w:bCs w:val="0"/>
                <w:noProof/>
              </w:rPr>
              <w:drawing>
                <wp:anchor distT="0" distB="0" distL="114300" distR="114300" simplePos="0" relativeHeight="251659264" behindDoc="0" locked="0" layoutInCell="1" allowOverlap="1" wp14:anchorId="6EBDCC11" wp14:editId="2398130E">
                  <wp:simplePos x="0" y="0"/>
                  <wp:positionH relativeFrom="page">
                    <wp:posOffset>4681855</wp:posOffset>
                  </wp:positionH>
                  <wp:positionV relativeFrom="page">
                    <wp:posOffset>-8172</wp:posOffset>
                  </wp:positionV>
                  <wp:extent cx="1219200" cy="213995"/>
                  <wp:effectExtent l="0" t="0" r="0" b="1905"/>
                  <wp:wrapNone/>
                  <wp:docPr id="9" name="Picture 9"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white sig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213995"/>
                          </a:xfrm>
                          <a:prstGeom prst="rect">
                            <a:avLst/>
                          </a:prstGeom>
                        </pic:spPr>
                      </pic:pic>
                    </a:graphicData>
                  </a:graphic>
                  <wp14:sizeRelH relativeFrom="margin">
                    <wp14:pctWidth>0</wp14:pctWidth>
                  </wp14:sizeRelH>
                  <wp14:sizeRelV relativeFrom="margin">
                    <wp14:pctHeight>0</wp14:pctHeight>
                  </wp14:sizeRelV>
                </wp:anchor>
              </w:drawing>
            </w:r>
            <w:r w:rsidR="00DD477E" w:rsidRPr="002C1DE5">
              <w:t>PRESS RELEASE</w:t>
            </w:r>
          </w:p>
        </w:tc>
      </w:tr>
      <w:tr w:rsidR="00A33C88" w14:paraId="06D995DE" w14:textId="77777777" w:rsidTr="008B6D39">
        <w:trPr>
          <w:trHeight w:val="875"/>
        </w:trPr>
        <w:tc>
          <w:tcPr>
            <w:tcW w:w="6750" w:type="dxa"/>
            <w:tcBorders>
              <w:top w:val="single" w:sz="8" w:space="0" w:color="2A4A83"/>
            </w:tcBorders>
            <w:tcMar>
              <w:top w:w="158" w:type="dxa"/>
              <w:bottom w:w="360" w:type="dxa"/>
            </w:tcMar>
          </w:tcPr>
          <w:p w14:paraId="729D60C8" w14:textId="77777777" w:rsidR="00A33C88" w:rsidRPr="001412C1" w:rsidRDefault="00A33C88" w:rsidP="00A33C88">
            <w:pPr>
              <w:pStyle w:val="Contact"/>
            </w:pPr>
            <w:r w:rsidRPr="001412C1">
              <w:t>C</w:t>
            </w:r>
            <w:r>
              <w:t>ontact:</w:t>
            </w:r>
          </w:p>
          <w:p w14:paraId="5E5EAC3C" w14:textId="67BCF1C2" w:rsidR="00A33C88" w:rsidRPr="00984313" w:rsidRDefault="00A33C88" w:rsidP="00A33C88">
            <w:pPr>
              <w:pStyle w:val="ReturnAddresstext"/>
            </w:pPr>
            <w:r w:rsidRPr="001A0DC2">
              <w:t>Karen Holden</w:t>
            </w:r>
            <w:r w:rsidR="009D3A4B">
              <w:t xml:space="preserve">, </w:t>
            </w:r>
            <w:r w:rsidRPr="001A0DC2">
              <w:t>VP, Finance and Administration</w:t>
            </w:r>
          </w:p>
          <w:p w14:paraId="710263F8" w14:textId="77777777" w:rsidR="00A33C88" w:rsidRDefault="00000000" w:rsidP="00A33C88">
            <w:pPr>
              <w:pStyle w:val="ReturnAddresstext"/>
              <w:rPr>
                <w:lang w:val="es-ES"/>
              </w:rPr>
            </w:pPr>
            <w:hyperlink r:id="rId8" w:history="1">
              <w:r w:rsidR="00A33C88" w:rsidRPr="001A0DC2">
                <w:rPr>
                  <w:rStyle w:val="Hyperlink"/>
                </w:rPr>
                <w:t>Karen.holden@brinks.com</w:t>
              </w:r>
            </w:hyperlink>
          </w:p>
        </w:tc>
        <w:tc>
          <w:tcPr>
            <w:tcW w:w="2600" w:type="dxa"/>
            <w:tcBorders>
              <w:top w:val="single" w:sz="8" w:space="0" w:color="2A4A83"/>
            </w:tcBorders>
            <w:tcMar>
              <w:top w:w="158" w:type="dxa"/>
              <w:bottom w:w="360" w:type="dxa"/>
            </w:tcMar>
          </w:tcPr>
          <w:p w14:paraId="67C87A6E" w14:textId="46742806" w:rsidR="00A33C88" w:rsidRPr="00350DF2" w:rsidRDefault="00A33C88" w:rsidP="00A33C88">
            <w:pPr>
              <w:pStyle w:val="ReturnAddresstext"/>
              <w:rPr>
                <w:b/>
                <w:bCs/>
                <w:caps/>
              </w:rPr>
            </w:pPr>
            <w:r w:rsidRPr="00094720">
              <w:rPr>
                <w:b/>
                <w:bCs/>
                <w:caps/>
              </w:rPr>
              <w:t xml:space="preserve">Brink’s </w:t>
            </w:r>
            <w:r w:rsidR="004729FE">
              <w:rPr>
                <w:b/>
                <w:bCs/>
                <w:caps/>
              </w:rPr>
              <w:t>canada</w:t>
            </w:r>
          </w:p>
          <w:p w14:paraId="67ED0139" w14:textId="77777777" w:rsidR="00A33C88" w:rsidRDefault="00350DF2" w:rsidP="00A33C88">
            <w:pPr>
              <w:pStyle w:val="ReturnAddresstext"/>
            </w:pPr>
            <w:r>
              <w:t>Address Line 1</w:t>
            </w:r>
          </w:p>
          <w:p w14:paraId="62704EB2" w14:textId="77777777" w:rsidR="00350DF2" w:rsidRDefault="00350DF2" w:rsidP="00A33C88">
            <w:pPr>
              <w:pStyle w:val="ReturnAddresstext"/>
              <w:rPr>
                <w:lang w:val="es-ES"/>
              </w:rPr>
            </w:pPr>
            <w:proofErr w:type="spellStart"/>
            <w:r>
              <w:rPr>
                <w:lang w:val="es-ES"/>
              </w:rPr>
              <w:t>Address</w:t>
            </w:r>
            <w:proofErr w:type="spellEnd"/>
            <w:r>
              <w:rPr>
                <w:lang w:val="es-ES"/>
              </w:rPr>
              <w:t xml:space="preserve"> Line 2</w:t>
            </w:r>
          </w:p>
          <w:p w14:paraId="2EC99804" w14:textId="0DFD306F" w:rsidR="00350DF2" w:rsidRDefault="00350DF2" w:rsidP="00A33C88">
            <w:pPr>
              <w:pStyle w:val="ReturnAddresstext"/>
              <w:rPr>
                <w:lang w:val="es-ES"/>
              </w:rPr>
            </w:pPr>
            <w:proofErr w:type="spellStart"/>
            <w:r>
              <w:rPr>
                <w:lang w:val="es-ES"/>
              </w:rPr>
              <w:t>Phone</w:t>
            </w:r>
            <w:proofErr w:type="spellEnd"/>
            <w:r>
              <w:rPr>
                <w:lang w:val="es-ES"/>
              </w:rPr>
              <w:t xml:space="preserve"> </w:t>
            </w:r>
            <w:proofErr w:type="spellStart"/>
            <w:r>
              <w:rPr>
                <w:lang w:val="es-ES"/>
              </w:rPr>
              <w:t>number</w:t>
            </w:r>
            <w:proofErr w:type="spellEnd"/>
          </w:p>
        </w:tc>
      </w:tr>
    </w:tbl>
    <w:p w14:paraId="645712E7" w14:textId="1CF07935" w:rsidR="00C77CB8" w:rsidRPr="00350DF2" w:rsidRDefault="001A0DC2" w:rsidP="00350DF2">
      <w:pPr>
        <w:pStyle w:val="NoSpacing"/>
        <w:jc w:val="center"/>
        <w:rPr>
          <w:b/>
          <w:bCs/>
          <w:sz w:val="28"/>
          <w:szCs w:val="28"/>
        </w:rPr>
      </w:pPr>
      <w:r w:rsidRPr="00350DF2">
        <w:rPr>
          <w:b/>
          <w:bCs/>
          <w:sz w:val="28"/>
          <w:szCs w:val="28"/>
        </w:rPr>
        <w:t>Introducing Brink’s Capital Canada</w:t>
      </w:r>
    </w:p>
    <w:p w14:paraId="0EC6A34B" w14:textId="5A7A1F14" w:rsidR="009D3A4B" w:rsidRPr="00350DF2" w:rsidRDefault="009D3A4B" w:rsidP="00350DF2">
      <w:pPr>
        <w:pStyle w:val="NoSpacing"/>
        <w:jc w:val="center"/>
        <w:rPr>
          <w:i/>
          <w:iCs/>
          <w:sz w:val="24"/>
        </w:rPr>
      </w:pPr>
      <w:r w:rsidRPr="00350DF2">
        <w:rPr>
          <w:i/>
          <w:iCs/>
          <w:sz w:val="24"/>
        </w:rPr>
        <w:t>Insert subhead here if applicable</w:t>
      </w:r>
    </w:p>
    <w:p w14:paraId="07E99B4C" w14:textId="77777777" w:rsidR="00350DF2" w:rsidRPr="00350DF2" w:rsidRDefault="00350DF2" w:rsidP="00350DF2">
      <w:pPr>
        <w:pStyle w:val="NoSpacing"/>
        <w:rPr>
          <w:sz w:val="24"/>
        </w:rPr>
      </w:pPr>
    </w:p>
    <w:p w14:paraId="7B7D1D07" w14:textId="6DAB543A" w:rsidR="001A0DC2" w:rsidRPr="00350DF2" w:rsidRDefault="001A0DC2" w:rsidP="00350DF2">
      <w:pPr>
        <w:pStyle w:val="NoSpacing"/>
        <w:rPr>
          <w:sz w:val="24"/>
        </w:rPr>
      </w:pPr>
      <w:r w:rsidRPr="00350DF2">
        <w:rPr>
          <w:b/>
          <w:bCs/>
          <w:sz w:val="24"/>
        </w:rPr>
        <w:t>Mississauga, Ontario</w:t>
      </w:r>
      <w:r w:rsidR="00A33C88" w:rsidRPr="00350DF2">
        <w:rPr>
          <w:b/>
          <w:bCs/>
          <w:sz w:val="24"/>
        </w:rPr>
        <w:t xml:space="preserve">, </w:t>
      </w:r>
      <w:r w:rsidRPr="00350DF2">
        <w:rPr>
          <w:b/>
          <w:bCs/>
          <w:sz w:val="24"/>
        </w:rPr>
        <w:t>July 01, 2022</w:t>
      </w:r>
      <w:r w:rsidR="002E5EEF" w:rsidRPr="00350DF2">
        <w:rPr>
          <w:sz w:val="24"/>
        </w:rPr>
        <w:t xml:space="preserve"> </w:t>
      </w:r>
      <w:r w:rsidR="007863BB" w:rsidRPr="00350DF2">
        <w:rPr>
          <w:sz w:val="24"/>
        </w:rPr>
        <w:t>—</w:t>
      </w:r>
      <w:r w:rsidR="002E5EEF" w:rsidRPr="00350DF2">
        <w:rPr>
          <w:sz w:val="24"/>
        </w:rPr>
        <w:t xml:space="preserve"> </w:t>
      </w:r>
      <w:r w:rsidRPr="00350DF2">
        <w:rPr>
          <w:sz w:val="24"/>
        </w:rPr>
        <w:t xml:space="preserve">Since 2017, Brink’s has embarked on a strategic journey to transform itself into a Digital Payments Company. </w:t>
      </w:r>
    </w:p>
    <w:p w14:paraId="60CB3665" w14:textId="77777777" w:rsidR="00350DF2" w:rsidRPr="00350DF2" w:rsidRDefault="00350DF2" w:rsidP="00350DF2">
      <w:pPr>
        <w:pStyle w:val="NoSpacing"/>
        <w:rPr>
          <w:sz w:val="24"/>
        </w:rPr>
      </w:pPr>
    </w:p>
    <w:p w14:paraId="09CF9214" w14:textId="77777777" w:rsidR="001A0DC2" w:rsidRPr="00350DF2" w:rsidRDefault="001A0DC2" w:rsidP="001A0DC2">
      <w:pPr>
        <w:pStyle w:val="Pressreleasemaintext"/>
        <w:rPr>
          <w:sz w:val="24"/>
          <w:szCs w:val="24"/>
        </w:rPr>
      </w:pPr>
      <w:r w:rsidRPr="00350DF2">
        <w:rPr>
          <w:sz w:val="24"/>
          <w:szCs w:val="24"/>
        </w:rPr>
        <w:t xml:space="preserve">We believe that the cash handling ecosystem is ripe for change and that change will mean more </w:t>
      </w:r>
      <w:r w:rsidRPr="00350DF2">
        <w:rPr>
          <w:b/>
          <w:bCs/>
          <w:i/>
          <w:iCs/>
          <w:sz w:val="24"/>
          <w:szCs w:val="24"/>
        </w:rPr>
        <w:t>simple</w:t>
      </w:r>
      <w:r w:rsidRPr="00350DF2">
        <w:rPr>
          <w:i/>
          <w:iCs/>
          <w:sz w:val="24"/>
          <w:szCs w:val="24"/>
        </w:rPr>
        <w:t xml:space="preserve">, </w:t>
      </w:r>
      <w:r w:rsidRPr="00350DF2">
        <w:rPr>
          <w:b/>
          <w:bCs/>
          <w:i/>
          <w:iCs/>
          <w:sz w:val="24"/>
          <w:szCs w:val="24"/>
        </w:rPr>
        <w:t>convenient</w:t>
      </w:r>
      <w:r w:rsidRPr="00350DF2">
        <w:rPr>
          <w:i/>
          <w:iCs/>
          <w:sz w:val="24"/>
          <w:szCs w:val="24"/>
        </w:rPr>
        <w:t xml:space="preserve">, </w:t>
      </w:r>
      <w:proofErr w:type="gramStart"/>
      <w:r w:rsidRPr="00350DF2">
        <w:rPr>
          <w:b/>
          <w:bCs/>
          <w:i/>
          <w:iCs/>
          <w:sz w:val="24"/>
          <w:szCs w:val="24"/>
        </w:rPr>
        <w:t>secure</w:t>
      </w:r>
      <w:proofErr w:type="gramEnd"/>
      <w:r w:rsidRPr="00350DF2">
        <w:rPr>
          <w:i/>
          <w:iCs/>
          <w:sz w:val="24"/>
          <w:szCs w:val="24"/>
        </w:rPr>
        <w:t xml:space="preserve"> and </w:t>
      </w:r>
      <w:r w:rsidRPr="00350DF2">
        <w:rPr>
          <w:b/>
          <w:bCs/>
          <w:i/>
          <w:iCs/>
          <w:sz w:val="24"/>
          <w:szCs w:val="24"/>
        </w:rPr>
        <w:t>affordable</w:t>
      </w:r>
      <w:r w:rsidRPr="00350DF2">
        <w:rPr>
          <w:i/>
          <w:iCs/>
          <w:sz w:val="24"/>
          <w:szCs w:val="24"/>
        </w:rPr>
        <w:t xml:space="preserve"> </w:t>
      </w:r>
      <w:r w:rsidRPr="00350DF2">
        <w:rPr>
          <w:sz w:val="24"/>
          <w:szCs w:val="24"/>
        </w:rPr>
        <w:t xml:space="preserve">methods of handling cash. </w:t>
      </w:r>
    </w:p>
    <w:p w14:paraId="7B23B88B" w14:textId="77777777" w:rsidR="001A0DC2" w:rsidRPr="00350DF2" w:rsidRDefault="001A0DC2" w:rsidP="001A0DC2">
      <w:pPr>
        <w:pStyle w:val="Pressreleasemaintext"/>
        <w:rPr>
          <w:sz w:val="24"/>
          <w:szCs w:val="24"/>
        </w:rPr>
      </w:pPr>
      <w:r w:rsidRPr="00350DF2">
        <w:rPr>
          <w:sz w:val="24"/>
          <w:szCs w:val="24"/>
        </w:rPr>
        <w:t xml:space="preserve">To support these efforts, we are proud to announce the launch of </w:t>
      </w:r>
      <w:r w:rsidRPr="00350DF2">
        <w:rPr>
          <w:b/>
          <w:sz w:val="24"/>
          <w:szCs w:val="24"/>
        </w:rPr>
        <w:t xml:space="preserve">Brink’s Capital Canada. </w:t>
      </w:r>
      <w:r w:rsidRPr="00350DF2">
        <w:rPr>
          <w:sz w:val="24"/>
          <w:szCs w:val="24"/>
        </w:rPr>
        <w:t>A wholly owned subsidiary of Brink’s Canada, Brink’s Capital Canada will serve as the finance engine for the digital cash management solutions being developed for the retail payments landscape.</w:t>
      </w:r>
    </w:p>
    <w:p w14:paraId="246B9DF1" w14:textId="77777777" w:rsidR="001A0DC2" w:rsidRPr="00350DF2" w:rsidRDefault="001A0DC2" w:rsidP="001A0DC2">
      <w:pPr>
        <w:pStyle w:val="Pressreleasemaintext"/>
        <w:rPr>
          <w:sz w:val="24"/>
          <w:szCs w:val="24"/>
        </w:rPr>
      </w:pPr>
      <w:r w:rsidRPr="00350DF2">
        <w:rPr>
          <w:sz w:val="24"/>
          <w:szCs w:val="24"/>
        </w:rPr>
        <w:t>Brink’s Capital Canada will:</w:t>
      </w:r>
    </w:p>
    <w:p w14:paraId="4F96DA53" w14:textId="77777777" w:rsidR="001A0DC2" w:rsidRPr="00350DF2" w:rsidRDefault="001A0DC2" w:rsidP="001A0DC2">
      <w:pPr>
        <w:pStyle w:val="ListBullet"/>
        <w:rPr>
          <w:sz w:val="24"/>
          <w:szCs w:val="24"/>
        </w:rPr>
      </w:pPr>
      <w:r w:rsidRPr="00350DF2">
        <w:rPr>
          <w:sz w:val="24"/>
          <w:szCs w:val="24"/>
        </w:rPr>
        <w:t xml:space="preserve">Provide provisional credit services to businesses of all sizes, wherever they are in the Canada </w:t>
      </w:r>
    </w:p>
    <w:p w14:paraId="69428FB2" w14:textId="77777777" w:rsidR="001A0DC2" w:rsidRPr="00350DF2" w:rsidRDefault="001A0DC2" w:rsidP="001A0DC2">
      <w:pPr>
        <w:pStyle w:val="ListBullet"/>
        <w:rPr>
          <w:sz w:val="24"/>
          <w:szCs w:val="24"/>
        </w:rPr>
      </w:pPr>
      <w:r w:rsidRPr="00350DF2">
        <w:rPr>
          <w:sz w:val="24"/>
          <w:szCs w:val="24"/>
        </w:rPr>
        <w:t>also enable true agnostic banking arrangements for our clients</w:t>
      </w:r>
    </w:p>
    <w:p w14:paraId="398F8EEF" w14:textId="77777777" w:rsidR="001A0DC2" w:rsidRPr="00350DF2" w:rsidRDefault="001A0DC2" w:rsidP="001A0DC2">
      <w:pPr>
        <w:pStyle w:val="Pressreleasemaintext"/>
        <w:rPr>
          <w:sz w:val="24"/>
          <w:szCs w:val="24"/>
        </w:rPr>
      </w:pPr>
      <w:r w:rsidRPr="00350DF2">
        <w:rPr>
          <w:sz w:val="24"/>
          <w:szCs w:val="24"/>
        </w:rPr>
        <w:t xml:space="preserve">At Brink’s, we believe that the cash handling ecosystem is ripe for </w:t>
      </w:r>
      <w:proofErr w:type="gramStart"/>
      <w:r w:rsidRPr="00350DF2">
        <w:rPr>
          <w:sz w:val="24"/>
          <w:szCs w:val="24"/>
        </w:rPr>
        <w:t>change</w:t>
      </w:r>
      <w:proofErr w:type="gramEnd"/>
      <w:r w:rsidRPr="00350DF2">
        <w:rPr>
          <w:sz w:val="24"/>
          <w:szCs w:val="24"/>
        </w:rPr>
        <w:t xml:space="preserve"> and we believe that change will mean more </w:t>
      </w:r>
      <w:r w:rsidRPr="00350DF2">
        <w:rPr>
          <w:b/>
          <w:bCs/>
          <w:i/>
          <w:iCs/>
          <w:sz w:val="24"/>
          <w:szCs w:val="24"/>
        </w:rPr>
        <w:t>simple</w:t>
      </w:r>
      <w:r w:rsidRPr="00350DF2">
        <w:rPr>
          <w:i/>
          <w:iCs/>
          <w:sz w:val="24"/>
          <w:szCs w:val="24"/>
        </w:rPr>
        <w:t xml:space="preserve">, </w:t>
      </w:r>
      <w:r w:rsidRPr="00350DF2">
        <w:rPr>
          <w:b/>
          <w:bCs/>
          <w:i/>
          <w:iCs/>
          <w:sz w:val="24"/>
          <w:szCs w:val="24"/>
        </w:rPr>
        <w:t>convenient</w:t>
      </w:r>
      <w:r w:rsidRPr="00350DF2">
        <w:rPr>
          <w:i/>
          <w:iCs/>
          <w:sz w:val="24"/>
          <w:szCs w:val="24"/>
        </w:rPr>
        <w:t xml:space="preserve">, </w:t>
      </w:r>
      <w:r w:rsidRPr="00350DF2">
        <w:rPr>
          <w:b/>
          <w:bCs/>
          <w:i/>
          <w:iCs/>
          <w:sz w:val="24"/>
          <w:szCs w:val="24"/>
        </w:rPr>
        <w:t>secure</w:t>
      </w:r>
      <w:r w:rsidRPr="00350DF2">
        <w:rPr>
          <w:i/>
          <w:iCs/>
          <w:sz w:val="24"/>
          <w:szCs w:val="24"/>
        </w:rPr>
        <w:t xml:space="preserve"> and </w:t>
      </w:r>
      <w:r w:rsidRPr="00350DF2">
        <w:rPr>
          <w:b/>
          <w:bCs/>
          <w:i/>
          <w:iCs/>
          <w:sz w:val="24"/>
          <w:szCs w:val="24"/>
        </w:rPr>
        <w:t>affordable</w:t>
      </w:r>
      <w:r w:rsidRPr="00350DF2">
        <w:rPr>
          <w:i/>
          <w:iCs/>
          <w:sz w:val="24"/>
          <w:szCs w:val="24"/>
        </w:rPr>
        <w:t xml:space="preserve"> </w:t>
      </w:r>
      <w:r w:rsidRPr="00350DF2">
        <w:rPr>
          <w:sz w:val="24"/>
          <w:szCs w:val="24"/>
        </w:rPr>
        <w:t xml:space="preserve">methods of handling cash. </w:t>
      </w:r>
    </w:p>
    <w:p w14:paraId="536B368C" w14:textId="77777777" w:rsidR="001A0DC2" w:rsidRPr="00350DF2" w:rsidRDefault="001A0DC2" w:rsidP="001A0DC2">
      <w:pPr>
        <w:pStyle w:val="Pressreleasemaintext"/>
        <w:rPr>
          <w:sz w:val="24"/>
          <w:szCs w:val="24"/>
        </w:rPr>
      </w:pPr>
      <w:r w:rsidRPr="00350DF2">
        <w:rPr>
          <w:sz w:val="24"/>
          <w:szCs w:val="24"/>
        </w:rPr>
        <w:t xml:space="preserve">As we </w:t>
      </w:r>
      <w:proofErr w:type="gramStart"/>
      <w:r w:rsidRPr="00350DF2">
        <w:rPr>
          <w:sz w:val="24"/>
          <w:szCs w:val="24"/>
        </w:rPr>
        <w:t>continue on</w:t>
      </w:r>
      <w:proofErr w:type="gramEnd"/>
      <w:r w:rsidRPr="00350DF2">
        <w:rPr>
          <w:sz w:val="24"/>
          <w:szCs w:val="24"/>
        </w:rPr>
        <w:t xml:space="preserve"> our transformation journey, Brink’s Canada will continue to evolve our operations and develop products and services to meet the payment challenges of today.</w:t>
      </w:r>
    </w:p>
    <w:p w14:paraId="53187CE3" w14:textId="77777777" w:rsidR="002E5EEF" w:rsidRPr="00350DF2" w:rsidRDefault="001A0DC2" w:rsidP="001A0DC2">
      <w:pPr>
        <w:pStyle w:val="Pressreleasemaintext"/>
        <w:rPr>
          <w:sz w:val="24"/>
          <w:szCs w:val="24"/>
        </w:rPr>
      </w:pPr>
      <w:r w:rsidRPr="00350DF2">
        <w:rPr>
          <w:sz w:val="24"/>
          <w:szCs w:val="24"/>
        </w:rPr>
        <w:t>We have embraced modern technology and partnered with Industry leaders to continually expand our data intelligence capabilities and service offering capabilities.</w:t>
      </w:r>
    </w:p>
    <w:p w14:paraId="4FF1778C" w14:textId="713FBD89" w:rsidR="00E717FE" w:rsidRDefault="009B1F3C" w:rsidP="009B1F3C">
      <w:pPr>
        <w:pStyle w:val="Pressreleasemaintext"/>
        <w:rPr>
          <w:sz w:val="24"/>
          <w:szCs w:val="24"/>
        </w:rPr>
      </w:pPr>
      <w:r w:rsidRPr="00350DF2">
        <w:rPr>
          <w:sz w:val="24"/>
          <w:szCs w:val="24"/>
        </w:rPr>
        <w:t xml:space="preserve">The world of cash is </w:t>
      </w:r>
      <w:proofErr w:type="gramStart"/>
      <w:r w:rsidRPr="00350DF2">
        <w:rPr>
          <w:sz w:val="24"/>
          <w:szCs w:val="24"/>
        </w:rPr>
        <w:t>changing</w:t>
      </w:r>
      <w:proofErr w:type="gramEnd"/>
      <w:r w:rsidRPr="00350DF2">
        <w:rPr>
          <w:sz w:val="24"/>
          <w:szCs w:val="24"/>
        </w:rPr>
        <w:t xml:space="preserve"> and Brink’s Canada is well positioned to drive change and power commerce.</w:t>
      </w:r>
    </w:p>
    <w:p w14:paraId="295CF60C" w14:textId="77777777" w:rsidR="00893F09" w:rsidRPr="00482E2B" w:rsidRDefault="00893F09" w:rsidP="00893F09">
      <w:pPr>
        <w:autoSpaceDE w:val="0"/>
        <w:autoSpaceDN w:val="0"/>
        <w:adjustRightInd w:val="0"/>
        <w:spacing w:after="200" w:line="264" w:lineRule="auto"/>
        <w:rPr>
          <w:rFonts w:eastAsia="SimHei" w:cs="Arial"/>
          <w:color w:val="2A4A83"/>
          <w:spacing w:val="60"/>
          <w:szCs w:val="20"/>
        </w:rPr>
      </w:pPr>
    </w:p>
    <w:p w14:paraId="6E57F0F1" w14:textId="77777777" w:rsidR="00893F09" w:rsidRPr="00482E2B" w:rsidRDefault="00893F09" w:rsidP="00893F09">
      <w:pPr>
        <w:autoSpaceDE w:val="0"/>
        <w:autoSpaceDN w:val="0"/>
        <w:adjustRightInd w:val="0"/>
        <w:spacing w:after="60" w:line="264" w:lineRule="auto"/>
        <w:rPr>
          <w:rFonts w:eastAsia="SimHei" w:cs="Arial"/>
          <w:b/>
          <w:bCs/>
          <w:color w:val="2A4A83"/>
          <w:sz w:val="18"/>
          <w:szCs w:val="18"/>
        </w:rPr>
      </w:pPr>
      <w:r w:rsidRPr="00482E2B">
        <w:rPr>
          <w:rFonts w:eastAsia="SimHei" w:cs="Arial"/>
          <w:b/>
          <w:bCs/>
          <w:color w:val="2A4A83"/>
          <w:sz w:val="18"/>
          <w:szCs w:val="18"/>
        </w:rPr>
        <w:t>About The Brink’s Company</w:t>
      </w:r>
    </w:p>
    <w:p w14:paraId="3EC339D3" w14:textId="77777777" w:rsidR="00893F09" w:rsidRDefault="00893F09" w:rsidP="00893F09">
      <w:pPr>
        <w:autoSpaceDE w:val="0"/>
        <w:autoSpaceDN w:val="0"/>
        <w:adjustRightInd w:val="0"/>
        <w:spacing w:line="264" w:lineRule="auto"/>
        <w:rPr>
          <w:rFonts w:eastAsia="SimHei" w:cs="Arial"/>
          <w:szCs w:val="20"/>
        </w:rPr>
      </w:pPr>
      <w:r w:rsidRPr="00482E2B">
        <w:rPr>
          <w:rFonts w:eastAsia="SimHei" w:cs="Arial"/>
          <w:szCs w:val="20"/>
        </w:rPr>
        <w:t>The Brink’s Company (NYSE:BCO), a leading global provider of cash and valuables management, digital retail solutions, and ATM managed services. Our customers include financial institutions, retailers, government agencies, mints, jewelers and other commercial operations. Our network of operations in 52 countries serves customers in more than 100 countries. For more information, please visit our website at www.brinks.com or call 804-289-9709.</w:t>
      </w:r>
    </w:p>
    <w:p w14:paraId="1F866BDF" w14:textId="77777777" w:rsidR="00A15FDD" w:rsidRDefault="00A15FDD" w:rsidP="00893F09">
      <w:pPr>
        <w:autoSpaceDE w:val="0"/>
        <w:autoSpaceDN w:val="0"/>
        <w:adjustRightInd w:val="0"/>
        <w:spacing w:line="264" w:lineRule="auto"/>
        <w:rPr>
          <w:rFonts w:eastAsia="SimHei" w:cs="Arial"/>
          <w:szCs w:val="20"/>
        </w:rPr>
      </w:pPr>
    </w:p>
    <w:p w14:paraId="4D322B54" w14:textId="7A86E1F9" w:rsidR="00A15FDD" w:rsidRPr="00482E2B" w:rsidRDefault="00A15FDD" w:rsidP="00893F09">
      <w:pPr>
        <w:autoSpaceDE w:val="0"/>
        <w:autoSpaceDN w:val="0"/>
        <w:adjustRightInd w:val="0"/>
        <w:spacing w:line="264" w:lineRule="auto"/>
        <w:rPr>
          <w:rFonts w:eastAsia="SimHei" w:cs="Arial"/>
          <w:szCs w:val="20"/>
        </w:rPr>
      </w:pPr>
      <w:r w:rsidRPr="00A15FDD">
        <w:rPr>
          <w:rFonts w:eastAsia="SimHei" w:cs="Arial"/>
          <w:szCs w:val="20"/>
        </w:rPr>
        <w:t>In Canada, Brink’s has 1500 employees, operates 39 facilities (including 13x secure cash processing centers) and processes over $3B in cash, coin, cheques and FX currencies annually.</w:t>
      </w:r>
    </w:p>
    <w:p w14:paraId="665BEE96" w14:textId="61652211" w:rsidR="002E0A3D" w:rsidRPr="008B6D39" w:rsidRDefault="002E0A3D" w:rsidP="00E717FE">
      <w:pPr>
        <w:pStyle w:val="Pressreleasemaintext"/>
        <w:jc w:val="center"/>
        <w:rPr>
          <w:color w:val="000000" w:themeColor="text1"/>
          <w:spacing w:val="60"/>
        </w:rPr>
      </w:pPr>
      <w:r>
        <w:rPr>
          <w:color w:val="000000" w:themeColor="text1"/>
          <w:spacing w:val="60"/>
        </w:rPr>
        <w:t xml:space="preserve"># # </w:t>
      </w:r>
      <w:r w:rsidR="008B6D39">
        <w:rPr>
          <w:color w:val="000000" w:themeColor="text1"/>
          <w:spacing w:val="60"/>
        </w:rPr>
        <w:t>#</w:t>
      </w:r>
    </w:p>
    <w:sectPr w:rsidR="002E0A3D" w:rsidRPr="008B6D39" w:rsidSect="002E0A3D">
      <w:pgSz w:w="12240" w:h="15840"/>
      <w:pgMar w:top="1080" w:right="1440" w:bottom="0" w:left="1440" w:header="720" w:footer="2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79CA" w14:textId="77777777" w:rsidR="00293C96" w:rsidRDefault="00293C96" w:rsidP="00FF4C4B">
      <w:r>
        <w:separator/>
      </w:r>
    </w:p>
  </w:endnote>
  <w:endnote w:type="continuationSeparator" w:id="0">
    <w:p w14:paraId="73365AD5" w14:textId="77777777" w:rsidR="00293C96" w:rsidRDefault="00293C96" w:rsidP="00FF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BE1A" w14:textId="77777777" w:rsidR="00293C96" w:rsidRDefault="00293C96" w:rsidP="00FF4C4B">
      <w:r>
        <w:separator/>
      </w:r>
    </w:p>
  </w:footnote>
  <w:footnote w:type="continuationSeparator" w:id="0">
    <w:p w14:paraId="65EB946D" w14:textId="77777777" w:rsidR="00293C96" w:rsidRDefault="00293C96" w:rsidP="00FF4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9858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7A3C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1EB2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B6B1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5A80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58CE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B843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CCBF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EC3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6477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43500"/>
    <w:multiLevelType w:val="hybridMultilevel"/>
    <w:tmpl w:val="2478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51240">
    <w:abstractNumId w:val="0"/>
  </w:num>
  <w:num w:numId="2" w16cid:durableId="1326395155">
    <w:abstractNumId w:val="1"/>
  </w:num>
  <w:num w:numId="3" w16cid:durableId="1464494104">
    <w:abstractNumId w:val="2"/>
  </w:num>
  <w:num w:numId="4" w16cid:durableId="301732651">
    <w:abstractNumId w:val="3"/>
  </w:num>
  <w:num w:numId="5" w16cid:durableId="1555771320">
    <w:abstractNumId w:val="8"/>
  </w:num>
  <w:num w:numId="6" w16cid:durableId="1247496336">
    <w:abstractNumId w:val="4"/>
  </w:num>
  <w:num w:numId="7" w16cid:durableId="221328623">
    <w:abstractNumId w:val="5"/>
  </w:num>
  <w:num w:numId="8" w16cid:durableId="1520120838">
    <w:abstractNumId w:val="6"/>
  </w:num>
  <w:num w:numId="9" w16cid:durableId="1750805692">
    <w:abstractNumId w:val="7"/>
  </w:num>
  <w:num w:numId="10" w16cid:durableId="1253778433">
    <w:abstractNumId w:val="9"/>
  </w:num>
  <w:num w:numId="11" w16cid:durableId="161933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77"/>
    <w:rsid w:val="000173A6"/>
    <w:rsid w:val="00097011"/>
    <w:rsid w:val="0012443E"/>
    <w:rsid w:val="00133B8A"/>
    <w:rsid w:val="001412C1"/>
    <w:rsid w:val="001615C2"/>
    <w:rsid w:val="001A0DC2"/>
    <w:rsid w:val="00253A02"/>
    <w:rsid w:val="00293C96"/>
    <w:rsid w:val="002B2EE9"/>
    <w:rsid w:val="002C1DE5"/>
    <w:rsid w:val="002D426E"/>
    <w:rsid w:val="002E0A3D"/>
    <w:rsid w:val="002E2441"/>
    <w:rsid w:val="002E5EEF"/>
    <w:rsid w:val="003123C5"/>
    <w:rsid w:val="00350DF2"/>
    <w:rsid w:val="003615BC"/>
    <w:rsid w:val="003B0CF7"/>
    <w:rsid w:val="004729FE"/>
    <w:rsid w:val="004B675B"/>
    <w:rsid w:val="004F2C66"/>
    <w:rsid w:val="005702ED"/>
    <w:rsid w:val="005B1E01"/>
    <w:rsid w:val="005C1082"/>
    <w:rsid w:val="00634D59"/>
    <w:rsid w:val="006372D9"/>
    <w:rsid w:val="0067544A"/>
    <w:rsid w:val="006B7DF5"/>
    <w:rsid w:val="007863BB"/>
    <w:rsid w:val="007B075C"/>
    <w:rsid w:val="0086476F"/>
    <w:rsid w:val="00893F09"/>
    <w:rsid w:val="008B6D39"/>
    <w:rsid w:val="008C5958"/>
    <w:rsid w:val="008E6689"/>
    <w:rsid w:val="008F40B2"/>
    <w:rsid w:val="00926488"/>
    <w:rsid w:val="00984313"/>
    <w:rsid w:val="009B1F3C"/>
    <w:rsid w:val="009D3A4B"/>
    <w:rsid w:val="009D7E60"/>
    <w:rsid w:val="00A13961"/>
    <w:rsid w:val="00A15FDD"/>
    <w:rsid w:val="00A33C88"/>
    <w:rsid w:val="00A35081"/>
    <w:rsid w:val="00A40BC9"/>
    <w:rsid w:val="00A8381E"/>
    <w:rsid w:val="00AA25C7"/>
    <w:rsid w:val="00AB2777"/>
    <w:rsid w:val="00B4309D"/>
    <w:rsid w:val="00B54581"/>
    <w:rsid w:val="00B74C32"/>
    <w:rsid w:val="00BA2E72"/>
    <w:rsid w:val="00BE35CB"/>
    <w:rsid w:val="00C039D7"/>
    <w:rsid w:val="00C06B10"/>
    <w:rsid w:val="00C77CB8"/>
    <w:rsid w:val="00C91F48"/>
    <w:rsid w:val="00CA12C8"/>
    <w:rsid w:val="00D33B23"/>
    <w:rsid w:val="00D50BFA"/>
    <w:rsid w:val="00DD477E"/>
    <w:rsid w:val="00DD6A36"/>
    <w:rsid w:val="00E0315F"/>
    <w:rsid w:val="00E17786"/>
    <w:rsid w:val="00E717FE"/>
    <w:rsid w:val="00EA4848"/>
    <w:rsid w:val="00EE1251"/>
    <w:rsid w:val="00EF13B7"/>
    <w:rsid w:val="00F03FA0"/>
    <w:rsid w:val="00F753DD"/>
    <w:rsid w:val="00FA3A8A"/>
    <w:rsid w:val="00FB573C"/>
    <w:rsid w:val="00FF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2B804"/>
  <w15:chartTrackingRefBased/>
  <w15:docId w15:val="{3D194331-D0C3-2945-8874-41115F0E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Body CS)"/>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E60"/>
  </w:style>
  <w:style w:type="paragraph" w:styleId="Heading1">
    <w:name w:val="heading 1"/>
    <w:next w:val="Pressreleasemaintext"/>
    <w:link w:val="Heading1Char"/>
    <w:uiPriority w:val="9"/>
    <w:qFormat/>
    <w:rsid w:val="00EE1251"/>
    <w:pPr>
      <w:autoSpaceDE w:val="0"/>
      <w:autoSpaceDN w:val="0"/>
      <w:adjustRightInd w:val="0"/>
      <w:spacing w:after="60" w:line="264" w:lineRule="auto"/>
      <w:outlineLvl w:val="0"/>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C4B"/>
    <w:pPr>
      <w:tabs>
        <w:tab w:val="center" w:pos="4680"/>
        <w:tab w:val="right" w:pos="9360"/>
      </w:tabs>
    </w:pPr>
  </w:style>
  <w:style w:type="character" w:customStyle="1" w:styleId="HeaderChar">
    <w:name w:val="Header Char"/>
    <w:basedOn w:val="DefaultParagraphFont"/>
    <w:link w:val="Header"/>
    <w:uiPriority w:val="99"/>
    <w:rsid w:val="00FF4C4B"/>
  </w:style>
  <w:style w:type="paragraph" w:styleId="Footer">
    <w:name w:val="footer"/>
    <w:basedOn w:val="Normal"/>
    <w:link w:val="FooterChar"/>
    <w:uiPriority w:val="99"/>
    <w:unhideWhenUsed/>
    <w:rsid w:val="00FF4C4B"/>
    <w:pPr>
      <w:tabs>
        <w:tab w:val="center" w:pos="4680"/>
        <w:tab w:val="right" w:pos="9360"/>
      </w:tabs>
    </w:pPr>
  </w:style>
  <w:style w:type="character" w:customStyle="1" w:styleId="FooterChar">
    <w:name w:val="Footer Char"/>
    <w:basedOn w:val="DefaultParagraphFont"/>
    <w:link w:val="Footer"/>
    <w:uiPriority w:val="99"/>
    <w:rsid w:val="00FF4C4B"/>
  </w:style>
  <w:style w:type="table" w:styleId="TableGrid">
    <w:name w:val="Table Grid"/>
    <w:basedOn w:val="TableNormal"/>
    <w:uiPriority w:val="39"/>
    <w:rsid w:val="00F7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ssReleaseheader">
    <w:name w:val="Press Release header"/>
    <w:next w:val="Contact"/>
    <w:qFormat/>
    <w:rsid w:val="001615C2"/>
    <w:pPr>
      <w:spacing w:after="120"/>
      <w:jc w:val="center"/>
    </w:pPr>
    <w:rPr>
      <w:b/>
      <w:bCs/>
      <w:caps/>
      <w:color w:val="2A4A83"/>
      <w:spacing w:val="60"/>
      <w:sz w:val="24"/>
      <w:u w:color="2A4A83"/>
    </w:rPr>
  </w:style>
  <w:style w:type="paragraph" w:customStyle="1" w:styleId="Contact">
    <w:name w:val="Contact"/>
    <w:next w:val="ReturnAddresstext"/>
    <w:qFormat/>
    <w:rsid w:val="001615C2"/>
    <w:pPr>
      <w:spacing w:after="60" w:line="264" w:lineRule="auto"/>
    </w:pPr>
    <w:rPr>
      <w:b/>
      <w:bCs/>
      <w:color w:val="2A4A83"/>
      <w:sz w:val="24"/>
    </w:rPr>
  </w:style>
  <w:style w:type="paragraph" w:customStyle="1" w:styleId="FORIMMEDIATERELEASEHEADER">
    <w:name w:val="FOR IMMEDIATE RELEASE HEADER"/>
    <w:next w:val="PressReleaseheader"/>
    <w:qFormat/>
    <w:rsid w:val="00C039D7"/>
    <w:pPr>
      <w:spacing w:before="300" w:after="300"/>
      <w:jc w:val="center"/>
    </w:pPr>
    <w:rPr>
      <w:rFonts w:cs="Arial"/>
      <w:b/>
      <w:bCs/>
      <w:i/>
      <w:iCs/>
      <w:color w:val="2A4A83"/>
      <w:spacing w:val="60"/>
      <w:sz w:val="24"/>
      <w:lang w:val="es-ES"/>
    </w:rPr>
  </w:style>
  <w:style w:type="character" w:customStyle="1" w:styleId="Heading1Char">
    <w:name w:val="Heading 1 Char"/>
    <w:basedOn w:val="DefaultParagraphFont"/>
    <w:link w:val="Heading1"/>
    <w:uiPriority w:val="9"/>
    <w:rsid w:val="00EE1251"/>
    <w:rPr>
      <w:rFonts w:cs="Arial"/>
      <w:b/>
      <w:bCs/>
      <w:sz w:val="24"/>
    </w:rPr>
  </w:style>
  <w:style w:type="paragraph" w:customStyle="1" w:styleId="Pressreleasemaintext">
    <w:name w:val="Press release main text"/>
    <w:qFormat/>
    <w:rsid w:val="00EE1251"/>
    <w:pPr>
      <w:autoSpaceDE w:val="0"/>
      <w:autoSpaceDN w:val="0"/>
      <w:adjustRightInd w:val="0"/>
      <w:spacing w:after="200" w:line="264" w:lineRule="auto"/>
    </w:pPr>
    <w:rPr>
      <w:rFonts w:cs="Arial"/>
      <w:szCs w:val="20"/>
    </w:rPr>
  </w:style>
  <w:style w:type="paragraph" w:customStyle="1" w:styleId="AboutBrinksheader">
    <w:name w:val="About Brink's header"/>
    <w:qFormat/>
    <w:rsid w:val="00C039D7"/>
    <w:pPr>
      <w:autoSpaceDE w:val="0"/>
      <w:autoSpaceDN w:val="0"/>
      <w:adjustRightInd w:val="0"/>
      <w:spacing w:after="60" w:line="264" w:lineRule="auto"/>
    </w:pPr>
    <w:rPr>
      <w:rFonts w:cs="Arial"/>
      <w:b/>
      <w:bCs/>
      <w:color w:val="2A4A83"/>
      <w:sz w:val="18"/>
      <w:szCs w:val="18"/>
    </w:rPr>
  </w:style>
  <w:style w:type="paragraph" w:customStyle="1" w:styleId="AboutBrinksbodytext">
    <w:name w:val="About Brink's body text"/>
    <w:qFormat/>
    <w:rsid w:val="00C039D7"/>
    <w:pPr>
      <w:autoSpaceDE w:val="0"/>
      <w:autoSpaceDN w:val="0"/>
      <w:adjustRightInd w:val="0"/>
      <w:spacing w:line="264" w:lineRule="auto"/>
    </w:pPr>
    <w:rPr>
      <w:rFonts w:cs="Arial"/>
      <w:sz w:val="16"/>
      <w:szCs w:val="16"/>
    </w:rPr>
  </w:style>
  <w:style w:type="paragraph" w:customStyle="1" w:styleId="ReturnAddresstext">
    <w:name w:val="Return Address text"/>
    <w:qFormat/>
    <w:rsid w:val="004F2C66"/>
    <w:pPr>
      <w:spacing w:line="288" w:lineRule="auto"/>
    </w:pPr>
    <w:rPr>
      <w:rFonts w:cs="Arial"/>
      <w:sz w:val="18"/>
      <w:szCs w:val="18"/>
    </w:rPr>
  </w:style>
  <w:style w:type="paragraph" w:customStyle="1" w:styleId="PressReleaseHeadline">
    <w:name w:val="Press Release Headline"/>
    <w:next w:val="Pressreleasemaintext"/>
    <w:qFormat/>
    <w:rsid w:val="00133B8A"/>
    <w:pPr>
      <w:spacing w:after="200"/>
    </w:pPr>
    <w:rPr>
      <w:rFonts w:cs="Arial"/>
      <w:b/>
      <w:bCs/>
      <w:sz w:val="24"/>
    </w:rPr>
  </w:style>
  <w:style w:type="paragraph" w:styleId="ListBullet">
    <w:name w:val="List Bullet"/>
    <w:basedOn w:val="Pressreleasemaintext"/>
    <w:uiPriority w:val="99"/>
    <w:unhideWhenUsed/>
    <w:rsid w:val="001A0DC2"/>
    <w:pPr>
      <w:numPr>
        <w:numId w:val="10"/>
      </w:numPr>
      <w:ind w:left="634" w:hanging="274"/>
      <w:contextualSpacing/>
    </w:pPr>
  </w:style>
  <w:style w:type="character" w:styleId="Hyperlink">
    <w:name w:val="Hyperlink"/>
    <w:basedOn w:val="DefaultParagraphFont"/>
    <w:uiPriority w:val="99"/>
    <w:unhideWhenUsed/>
    <w:rsid w:val="001A0DC2"/>
    <w:rPr>
      <w:color w:val="0563C1" w:themeColor="hyperlink"/>
      <w:u w:val="single"/>
    </w:rPr>
  </w:style>
  <w:style w:type="character" w:styleId="UnresolvedMention">
    <w:name w:val="Unresolved Mention"/>
    <w:basedOn w:val="DefaultParagraphFont"/>
    <w:uiPriority w:val="99"/>
    <w:semiHidden/>
    <w:unhideWhenUsed/>
    <w:rsid w:val="001A0DC2"/>
    <w:rPr>
      <w:color w:val="605E5C"/>
      <w:shd w:val="clear" w:color="auto" w:fill="E1DFDD"/>
    </w:rPr>
  </w:style>
  <w:style w:type="paragraph" w:styleId="BalloonText">
    <w:name w:val="Balloon Text"/>
    <w:basedOn w:val="Normal"/>
    <w:link w:val="BalloonTextChar"/>
    <w:semiHidden/>
    <w:unhideWhenUsed/>
    <w:rsid w:val="00A33C88"/>
    <w:rPr>
      <w:rFonts w:ascii="Segoe UI" w:eastAsia="Times New Roman" w:hAnsi="Segoe UI" w:cs="Segoe UI"/>
      <w:kern w:val="16"/>
      <w:sz w:val="18"/>
      <w:szCs w:val="18"/>
      <w:lang w:eastAsia="en-US"/>
    </w:rPr>
  </w:style>
  <w:style w:type="character" w:customStyle="1" w:styleId="BalloonTextChar">
    <w:name w:val="Balloon Text Char"/>
    <w:basedOn w:val="DefaultParagraphFont"/>
    <w:link w:val="BalloonText"/>
    <w:semiHidden/>
    <w:rsid w:val="00A33C88"/>
    <w:rPr>
      <w:rFonts w:ascii="Segoe UI" w:eastAsia="Times New Roman" w:hAnsi="Segoe UI" w:cs="Segoe UI"/>
      <w:kern w:val="16"/>
      <w:sz w:val="18"/>
      <w:szCs w:val="18"/>
      <w:lang w:eastAsia="en-US"/>
    </w:rPr>
  </w:style>
  <w:style w:type="paragraph" w:styleId="NoSpacing">
    <w:name w:val="No Spacing"/>
    <w:uiPriority w:val="1"/>
    <w:qFormat/>
    <w:rsid w:val="009D3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holden@brink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Kaye Faris</cp:lastModifiedBy>
  <cp:revision>3</cp:revision>
  <cp:lastPrinted>2022-06-28T17:59:00Z</cp:lastPrinted>
  <dcterms:created xsi:type="dcterms:W3CDTF">2023-10-12T16:35:00Z</dcterms:created>
  <dcterms:modified xsi:type="dcterms:W3CDTF">2023-10-12T16:56:00Z</dcterms:modified>
</cp:coreProperties>
</file>