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914BA" w:rsidRPr="00027249" w:rsidP="00E914BA" w14:paraId="468F9556" w14:textId="70EABB44">
      <w:pPr>
        <w:jc w:val="center"/>
        <w:rPr>
          <w:sz w:val="44"/>
        </w:rPr>
      </w:pPr>
    </w:p>
    <w:p w:rsidR="008E4FBA" w:rsidRPr="00BC63C9" w:rsidP="00E914BA" w14:paraId="275392CB" w14:textId="77777777">
      <w:pPr>
        <w:jc w:val="center"/>
        <w:rPr>
          <w:sz w:val="16"/>
          <w:szCs w:val="16"/>
        </w:rPr>
      </w:pPr>
      <w:r w:rsidRPr="00027249">
        <w:rPr>
          <w:sz w:val="44"/>
        </w:rPr>
        <w:t xml:space="preserve"> </w:t>
      </w:r>
    </w:p>
    <w:p w:rsidR="004F2E81" w:rsidP="008E4FBA" w14:paraId="55E6A8F0" w14:textId="4CA02B48">
      <w:pPr>
        <w:jc w:val="center"/>
        <w:rPr>
          <w:sz w:val="44"/>
        </w:rPr>
      </w:pPr>
    </w:p>
    <w:p w:rsidR="004F2E81" w:rsidP="008E4FBA" w14:paraId="0CEBF594" w14:textId="77777777">
      <w:pPr>
        <w:jc w:val="center"/>
        <w:rPr>
          <w:sz w:val="44"/>
        </w:rPr>
      </w:pPr>
    </w:p>
    <w:p w:rsidR="004F2E81" w:rsidP="008E4FBA" w14:paraId="5338E1F1" w14:textId="6A821D56">
      <w:pPr>
        <w:jc w:val="center"/>
        <w:rPr>
          <w:sz w:val="44"/>
        </w:rPr>
      </w:pPr>
    </w:p>
    <w:p w:rsidR="004F2E81" w:rsidP="008E4FBA" w14:paraId="4840B6B6" w14:textId="77777777">
      <w:pPr>
        <w:jc w:val="center"/>
        <w:rPr>
          <w:sz w:val="44"/>
        </w:rPr>
      </w:pPr>
    </w:p>
    <w:p w:rsidR="004F2E81" w:rsidRPr="0051357C" w:rsidP="004F2E81" w14:paraId="2A193A3F" w14:textId="77777777">
      <w:pPr>
        <w:rPr>
          <w:rFonts w:asciiTheme="majorHAnsi" w:hAnsiTheme="majorHAnsi" w:cstheme="majorHAnsi"/>
          <w:sz w:val="44"/>
        </w:rPr>
      </w:pPr>
    </w:p>
    <w:p w:rsidR="0051357C" w:rsidRPr="0051357C" w:rsidP="00A116FD" w14:paraId="25F54AFC" w14:textId="77777777">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pt-BR"/>
        </w:rPr>
        <w:t xml:space="preserve">BRINK’S GLOBAL </w:t>
      </w:r>
    </w:p>
    <w:p w:rsidR="0051357C" w:rsidRPr="0051357C" w:rsidP="00A116FD" w14:paraId="40BE0718" w14:textId="77777777">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pt-BR"/>
        </w:rPr>
        <w:t xml:space="preserve">FORÇA DE TRABALHO TEMPORÁRIA </w:t>
      </w:r>
    </w:p>
    <w:p w:rsidR="00C87914" w:rsidRPr="0051357C" w:rsidP="00A116FD" w14:paraId="2F8B1E16" w14:textId="71D62E60">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pt-BR"/>
        </w:rPr>
        <w:t>POLÍTICA</w:t>
      </w:r>
    </w:p>
    <w:p w:rsidR="00D05962" w:rsidRPr="0051357C" w:rsidP="008E4FBA" w14:paraId="30FD2BD1" w14:textId="77777777">
      <w:pPr>
        <w:jc w:val="center"/>
        <w:rPr>
          <w:rFonts w:ascii="Arial" w:hAnsi="Arial" w:cs="Arial"/>
          <w:b/>
          <w:bCs/>
          <w:sz w:val="68"/>
          <w:szCs w:val="68"/>
        </w:rPr>
      </w:pPr>
    </w:p>
    <w:p w:rsidR="004F2E81" w:rsidRPr="0051357C" w:rsidP="008E4FBA" w14:paraId="75AC08D2" w14:textId="77777777">
      <w:pPr>
        <w:jc w:val="center"/>
        <w:rPr>
          <w:rFonts w:ascii="Arial" w:hAnsi="Arial" w:cs="Arial"/>
          <w:b/>
          <w:bCs/>
          <w:sz w:val="44"/>
        </w:rPr>
      </w:pPr>
    </w:p>
    <w:p w:rsidR="004F2E81" w:rsidP="008E4FBA" w14:paraId="63DB44B1" w14:textId="77777777">
      <w:pPr>
        <w:jc w:val="center"/>
        <w:rPr>
          <w:sz w:val="44"/>
        </w:rPr>
      </w:pPr>
    </w:p>
    <w:p w:rsidR="004F2E81" w:rsidP="008E4FBA" w14:paraId="6DE7236C" w14:textId="77777777">
      <w:pPr>
        <w:jc w:val="center"/>
        <w:rPr>
          <w:sz w:val="44"/>
        </w:rPr>
      </w:pPr>
    </w:p>
    <w:p w:rsidR="004F2E81" w:rsidP="008E4FBA" w14:paraId="5746E05E" w14:textId="77777777">
      <w:pPr>
        <w:jc w:val="center"/>
        <w:rPr>
          <w:sz w:val="44"/>
        </w:rPr>
      </w:pPr>
    </w:p>
    <w:p w:rsidR="004F2E81" w:rsidP="008E4FBA" w14:paraId="551A52FC" w14:textId="77777777">
      <w:pPr>
        <w:jc w:val="center"/>
        <w:rPr>
          <w:sz w:val="44"/>
        </w:rPr>
      </w:pPr>
    </w:p>
    <w:p w:rsidR="004F2E81" w:rsidP="008E4FBA" w14:paraId="6DEE6968" w14:textId="77777777">
      <w:pPr>
        <w:jc w:val="center"/>
        <w:rPr>
          <w:sz w:val="44"/>
        </w:rPr>
      </w:pPr>
    </w:p>
    <w:p w:rsidR="004F2E81" w:rsidP="008E4FBA" w14:paraId="6E4EAF24" w14:textId="77777777">
      <w:pPr>
        <w:jc w:val="center"/>
        <w:rPr>
          <w:sz w:val="44"/>
        </w:rPr>
      </w:pPr>
    </w:p>
    <w:p w:rsidR="004F2E81" w:rsidP="008E4FBA" w14:paraId="5BA1FBBA" w14:textId="77777777">
      <w:pPr>
        <w:jc w:val="center"/>
        <w:rPr>
          <w:sz w:val="44"/>
        </w:rPr>
      </w:pPr>
    </w:p>
    <w:p w:rsidR="004F2E81" w:rsidP="008E4FBA" w14:paraId="52AF8C3F" w14:textId="6F5D71F6">
      <w:pPr>
        <w:jc w:val="center"/>
        <w:rPr>
          <w:sz w:val="44"/>
        </w:rPr>
      </w:pPr>
    </w:p>
    <w:p w:rsidR="00F3568E" w:rsidP="008E4FBA" w14:paraId="6EE9D896" w14:textId="7E2C98E1">
      <w:pPr>
        <w:jc w:val="center"/>
        <w:rPr>
          <w:sz w:val="44"/>
        </w:rPr>
      </w:pPr>
    </w:p>
    <w:p w:rsidR="00F3568E" w:rsidP="3F806670" w14:paraId="0FF1FDF5" w14:textId="08CA2F5A">
      <w:pPr>
        <w:jc w:val="center"/>
        <w:rPr>
          <w:sz w:val="44"/>
          <w:szCs w:val="44"/>
        </w:rPr>
      </w:pPr>
    </w:p>
    <w:p w:rsidR="008E4FBA" w:rsidRPr="00593902" w:rsidP="00593902" w14:paraId="0ECA548E" w14:textId="77777777">
      <w:pPr>
        <w:rPr>
          <w:sz w:val="32"/>
          <w:szCs w:val="32"/>
        </w:rPr>
      </w:pPr>
    </w:p>
    <w:p w:rsidR="00D72604" w:rsidP="00593902" w14:paraId="1414A4C6" w14:textId="77777777">
      <w:pPr>
        <w:jc w:val="center"/>
        <w:rPr>
          <w:rFonts w:asciiTheme="majorHAnsi" w:hAnsiTheme="majorHAnsi" w:cstheme="majorHAnsi"/>
          <w:b/>
          <w:bCs/>
          <w:sz w:val="32"/>
          <w:szCs w:val="32"/>
        </w:rPr>
      </w:pPr>
    </w:p>
    <w:p w:rsidR="00337B8A" w:rsidRPr="00593902" w:rsidP="00593902" w14:paraId="11E2A833" w14:textId="2FA97C5C">
      <w:pPr>
        <w:bidi w:val="0"/>
        <w:jc w:val="center"/>
        <w:rPr>
          <w:rFonts w:asciiTheme="majorHAnsi" w:eastAsiaTheme="majorEastAsia" w:hAnsiTheme="majorHAnsi" w:cstheme="majorHAnsi"/>
          <w:b/>
          <w:bCs/>
          <w:color w:val="1F497D" w:themeColor="text2"/>
          <w:sz w:val="32"/>
          <w:szCs w:val="32"/>
        </w:rPr>
      </w:pPr>
      <w:r w:rsidRPr="00593902">
        <w:rPr>
          <w:rFonts w:asciiTheme="majorHAnsi" w:hAnsiTheme="majorHAnsi" w:cstheme="majorHAnsi"/>
          <w:b/>
          <w:bCs/>
          <w:sz w:val="32"/>
          <w:szCs w:val="32"/>
          <w:rtl w:val="0"/>
          <w:lang w:val="pt-BR"/>
        </w:rPr>
        <w:t>ÍNDICE</w:t>
      </w:r>
    </w:p>
    <w:p w14:paraId="433FDCD6" w14:textId="3D8696F1">
      <w:pPr>
        <w:pStyle w:val="TOC1"/>
        <w:rPr>
          <w:rFonts w:asciiTheme="minorHAnsi" w:hAnsiTheme="minorHAnsi"/>
          <w:noProof/>
          <w:sz w:val="22"/>
        </w:rPr>
      </w:pPr>
      <w:r w:rsidRPr="00D20217">
        <w:rPr>
          <w:rFonts w:asciiTheme="majorHAnsi" w:hAnsiTheme="majorHAnsi" w:cstheme="majorHAnsi"/>
          <w:sz w:val="22"/>
          <w:szCs w:val="22"/>
        </w:rPr>
        <w:fldChar w:fldCharType="begin"/>
      </w:r>
      <w:r w:rsidRPr="00D20217">
        <w:rPr>
          <w:rFonts w:asciiTheme="majorHAnsi" w:hAnsiTheme="majorHAnsi" w:cstheme="majorHAnsi"/>
          <w:sz w:val="22"/>
          <w:szCs w:val="22"/>
        </w:rPr>
        <w:instrText xml:space="preserve"> TOC \o "1-3" \h \z \u </w:instrText>
      </w:r>
      <w:r w:rsidRPr="00D20217">
        <w:rPr>
          <w:rFonts w:asciiTheme="majorHAnsi" w:hAnsiTheme="majorHAnsi" w:cstheme="majorHAnsi"/>
          <w:sz w:val="22"/>
          <w:szCs w:val="22"/>
        </w:rPr>
        <w:fldChar w:fldCharType="separate"/>
      </w:r>
      <w:hyperlink w:anchor="_Toc256000000" w:history="1">
        <w:r>
          <w:rPr>
            <w:rStyle w:val="Hyperlink"/>
            <w:rFonts w:cstheme="majorHAnsi"/>
          </w:rPr>
          <w:t>I.</w:t>
        </w:r>
        <w:r>
          <w:rPr>
            <w:rFonts w:asciiTheme="minorHAnsi" w:hAnsiTheme="minorHAnsi" w:cstheme="majorHAnsi"/>
            <w:noProof/>
            <w:sz w:val="22"/>
          </w:rPr>
          <w:tab/>
        </w:r>
        <w:r w:rsidRPr="0051357C">
          <w:rPr>
            <w:rStyle w:val="Hyperlink"/>
            <w:rFonts w:cstheme="majorHAnsi"/>
            <w:lang w:val="pt-BR"/>
          </w:rPr>
          <w:t>OBJETIVO</w:t>
        </w:r>
        <w:r>
          <w:tab/>
        </w:r>
        <w:r>
          <w:fldChar w:fldCharType="begin"/>
        </w:r>
        <w:r>
          <w:instrText xml:space="preserve"> PAGEREF _Toc256000000 \h </w:instrText>
        </w:r>
        <w:r>
          <w:fldChar w:fldCharType="separate"/>
        </w:r>
        <w:r>
          <w:t>3</w:t>
        </w:r>
        <w:r>
          <w:fldChar w:fldCharType="end"/>
        </w:r>
      </w:hyperlink>
    </w:p>
    <w:p>
      <w:pPr>
        <w:pStyle w:val="TOC1"/>
        <w:rPr>
          <w:rFonts w:asciiTheme="minorHAnsi" w:hAnsiTheme="minorHAnsi"/>
          <w:noProof/>
          <w:sz w:val="22"/>
        </w:rPr>
      </w:pPr>
      <w:hyperlink w:anchor="_Toc256000001" w:history="1">
        <w:r>
          <w:rPr>
            <w:rStyle w:val="Hyperlink"/>
            <w:rFonts w:cstheme="majorHAnsi"/>
          </w:rPr>
          <w:t>II.</w:t>
        </w:r>
        <w:r>
          <w:rPr>
            <w:rFonts w:asciiTheme="minorHAnsi" w:hAnsiTheme="minorHAnsi" w:cstheme="majorHAnsi"/>
            <w:noProof/>
            <w:sz w:val="22"/>
          </w:rPr>
          <w:tab/>
        </w:r>
        <w:r w:rsidRPr="0051357C">
          <w:rPr>
            <w:rStyle w:val="Hyperlink"/>
            <w:rFonts w:cstheme="majorHAnsi"/>
            <w:lang w:val="pt-BR"/>
          </w:rPr>
          <w:t>DEFINIÇÕES</w:t>
        </w:r>
        <w:r>
          <w:tab/>
        </w:r>
        <w:r>
          <w:fldChar w:fldCharType="begin"/>
        </w:r>
        <w:r>
          <w:instrText xml:space="preserve"> PAGEREF _Toc256000001 \h </w:instrText>
        </w:r>
        <w:r>
          <w:fldChar w:fldCharType="separate"/>
        </w:r>
        <w:r>
          <w:t>3</w:t>
        </w:r>
        <w:r>
          <w:fldChar w:fldCharType="end"/>
        </w:r>
      </w:hyperlink>
    </w:p>
    <w:p>
      <w:pPr>
        <w:pStyle w:val="TOC1"/>
        <w:rPr>
          <w:rFonts w:asciiTheme="minorHAnsi" w:hAnsiTheme="minorHAnsi"/>
          <w:noProof/>
          <w:sz w:val="22"/>
        </w:rPr>
      </w:pPr>
      <w:hyperlink w:anchor="_Toc256000002" w:history="1">
        <w:r>
          <w:rPr>
            <w:rStyle w:val="Hyperlink"/>
            <w:rFonts w:cstheme="majorHAnsi"/>
          </w:rPr>
          <w:t>III.</w:t>
        </w:r>
        <w:r>
          <w:rPr>
            <w:rFonts w:asciiTheme="minorHAnsi" w:hAnsiTheme="minorHAnsi" w:cstheme="majorHAnsi"/>
            <w:noProof/>
            <w:sz w:val="22"/>
          </w:rPr>
          <w:tab/>
        </w:r>
        <w:r w:rsidRPr="008E0A00">
          <w:rPr>
            <w:rStyle w:val="Hyperlink"/>
            <w:rFonts w:cstheme="majorHAnsi"/>
            <w:lang w:val="pt-BR"/>
          </w:rPr>
          <w:t>ÂMBITO</w:t>
        </w:r>
        <w:r>
          <w:tab/>
        </w:r>
        <w:r>
          <w:fldChar w:fldCharType="begin"/>
        </w:r>
        <w:r>
          <w:instrText xml:space="preserve"> PAGEREF _Toc256000002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3" w:history="1">
        <w:r>
          <w:rPr>
            <w:rStyle w:val="Hyperlink"/>
            <w:rFonts w:cstheme="majorHAnsi"/>
          </w:rPr>
          <w:t>A.</w:t>
        </w:r>
        <w:r>
          <w:rPr>
            <w:rFonts w:asciiTheme="minorHAnsi" w:hAnsiTheme="minorHAnsi" w:cstheme="majorHAnsi"/>
            <w:noProof/>
            <w:sz w:val="22"/>
          </w:rPr>
          <w:tab/>
        </w:r>
        <w:r w:rsidRPr="0074239A">
          <w:rPr>
            <w:rStyle w:val="Hyperlink"/>
            <w:rFonts w:cstheme="majorHAnsi"/>
            <w:lang w:val="pt-BR"/>
          </w:rPr>
          <w:t>Âmbito geográfico</w:t>
        </w:r>
        <w:r>
          <w:tab/>
        </w:r>
        <w:r>
          <w:fldChar w:fldCharType="begin"/>
        </w:r>
        <w:r>
          <w:instrText xml:space="preserve"> PAGEREF _Toc256000003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4" w:history="1">
        <w:r>
          <w:rPr>
            <w:rStyle w:val="Hyperlink"/>
            <w:rFonts w:cstheme="majorHAnsi"/>
          </w:rPr>
          <w:t>B.</w:t>
        </w:r>
        <w:r>
          <w:rPr>
            <w:rFonts w:asciiTheme="minorHAnsi" w:hAnsiTheme="minorHAnsi" w:cstheme="majorHAnsi"/>
            <w:noProof/>
            <w:sz w:val="22"/>
          </w:rPr>
          <w:tab/>
        </w:r>
        <w:r>
          <w:rPr>
            <w:rStyle w:val="Hyperlink"/>
            <w:rFonts w:cstheme="majorHAnsi"/>
            <w:lang w:val="pt-BR"/>
          </w:rPr>
          <w:t>Funções no escopo da política</w:t>
        </w:r>
        <w:r>
          <w:tab/>
        </w:r>
        <w:r>
          <w:fldChar w:fldCharType="begin"/>
        </w:r>
        <w:r>
          <w:instrText xml:space="preserve"> PAGEREF _Toc256000004 \h </w:instrText>
        </w:r>
        <w:r>
          <w:fldChar w:fldCharType="separate"/>
        </w:r>
        <w:r>
          <w:t>4</w:t>
        </w:r>
        <w:r>
          <w:fldChar w:fldCharType="end"/>
        </w:r>
      </w:hyperlink>
    </w:p>
    <w:p>
      <w:pPr>
        <w:pStyle w:val="TOC3"/>
        <w:tabs>
          <w:tab w:val="right" w:leader="dot" w:pos="10358"/>
        </w:tabs>
        <w:rPr>
          <w:rFonts w:asciiTheme="minorHAnsi" w:hAnsiTheme="minorHAnsi"/>
          <w:noProof/>
          <w:sz w:val="22"/>
        </w:rPr>
      </w:pPr>
      <w:hyperlink w:anchor="_Toc256000005" w:history="1">
        <w:r w:rsidRPr="00F413DF">
          <w:rPr>
            <w:rStyle w:val="Hyperlink"/>
            <w:rFonts w:asciiTheme="majorHAnsi" w:eastAsiaTheme="majorEastAsia" w:hAnsiTheme="majorHAnsi" w:cstheme="majorBidi"/>
            <w:lang w:val="pt-BR"/>
          </w:rPr>
          <w:t>Força de trabalho temporária</w:t>
        </w:r>
        <w:r>
          <w:tab/>
        </w:r>
        <w:r>
          <w:fldChar w:fldCharType="begin"/>
        </w:r>
        <w:r>
          <w:instrText xml:space="preserve"> PAGEREF _Toc256000005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6" w:history="1">
        <w:r>
          <w:rPr>
            <w:rStyle w:val="Hyperlink"/>
            <w:rFonts w:cstheme="majorHAnsi"/>
            <w:lang w:eastAsia="nl-NL" w:bidi="nl-NL"/>
          </w:rPr>
          <w:t>C.</w:t>
        </w:r>
        <w:r>
          <w:rPr>
            <w:rFonts w:asciiTheme="minorHAnsi" w:hAnsiTheme="minorHAnsi" w:cstheme="majorHAnsi"/>
            <w:noProof/>
            <w:sz w:val="22"/>
            <w:lang w:eastAsia="nl-NL" w:bidi="nl-NL"/>
          </w:rPr>
          <w:tab/>
        </w:r>
        <w:r>
          <w:rPr>
            <w:rStyle w:val="Hyperlink"/>
            <w:rFonts w:cstheme="majorHAnsi"/>
            <w:lang w:val="pt-BR"/>
          </w:rPr>
          <w:t>Funções fora do escopo da política</w:t>
        </w:r>
        <w:r>
          <w:tab/>
        </w:r>
        <w:r>
          <w:fldChar w:fldCharType="begin"/>
        </w:r>
        <w:r>
          <w:instrText xml:space="preserve"> PAGEREF _Toc256000006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07" w:history="1">
        <w:r w:rsidRPr="0051357C">
          <w:rPr>
            <w:rStyle w:val="Hyperlink"/>
            <w:rFonts w:cstheme="majorHAnsi"/>
            <w:lang w:val="pt-BR"/>
          </w:rPr>
          <w:t>Funcionários da Brink's</w:t>
        </w:r>
        <w:r>
          <w:tab/>
        </w:r>
        <w:r>
          <w:fldChar w:fldCharType="begin"/>
        </w:r>
        <w:r>
          <w:instrText xml:space="preserve"> PAGEREF _Toc256000007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08" w:history="1">
        <w:r w:rsidRPr="0051357C">
          <w:rPr>
            <w:rStyle w:val="Hyperlink"/>
            <w:rFonts w:cstheme="majorHAnsi"/>
            <w:lang w:val="pt-BR"/>
          </w:rPr>
          <w:t>Estágios</w:t>
        </w:r>
        <w:r>
          <w:tab/>
        </w:r>
        <w:r>
          <w:fldChar w:fldCharType="begin"/>
        </w:r>
        <w:r>
          <w:instrText xml:space="preserve"> PAGEREF _Toc256000008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09" w:history="1">
        <w:r w:rsidRPr="0051357C">
          <w:rPr>
            <w:rStyle w:val="Hyperlink"/>
            <w:rFonts w:cstheme="majorHAnsi"/>
            <w:lang w:val="pt-BR"/>
          </w:rPr>
          <w:t>Trabalhadores da linha de frente</w:t>
        </w:r>
        <w:r>
          <w:tab/>
        </w:r>
        <w:r>
          <w:fldChar w:fldCharType="begin"/>
        </w:r>
        <w:r>
          <w:instrText xml:space="preserve"> PAGEREF _Toc256000009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10" w:history="1">
        <w:r w:rsidRPr="0051357C">
          <w:rPr>
            <w:rStyle w:val="Hyperlink"/>
            <w:rFonts w:cstheme="majorHAnsi"/>
            <w:lang w:val="pt-BR"/>
          </w:rPr>
          <w:t>Empresas de terceirização de processos de negócios (BPO)</w:t>
        </w:r>
        <w:r>
          <w:tab/>
        </w:r>
        <w:r>
          <w:fldChar w:fldCharType="begin"/>
        </w:r>
        <w:r>
          <w:instrText xml:space="preserve"> PAGEREF _Toc256000010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11" w:history="1">
        <w:r w:rsidRPr="0051357C">
          <w:rPr>
            <w:rStyle w:val="Hyperlink"/>
            <w:rFonts w:cstheme="majorHAnsi"/>
            <w:lang w:val="pt-BR" w:eastAsia="nl-NL" w:bidi="nl-NL"/>
          </w:rPr>
          <w:t>Projetos de Consultoria</w:t>
        </w:r>
        <w:r>
          <w:tab/>
        </w:r>
        <w:r>
          <w:fldChar w:fldCharType="begin"/>
        </w:r>
        <w:r>
          <w:instrText xml:space="preserve"> PAGEREF _Toc256000011 \h </w:instrText>
        </w:r>
        <w:r>
          <w:fldChar w:fldCharType="separate"/>
        </w:r>
        <w:r>
          <w:t>5</w:t>
        </w:r>
        <w:r>
          <w:fldChar w:fldCharType="end"/>
        </w:r>
      </w:hyperlink>
    </w:p>
    <w:p>
      <w:pPr>
        <w:pStyle w:val="TOC1"/>
        <w:rPr>
          <w:rFonts w:asciiTheme="minorHAnsi" w:hAnsiTheme="minorHAnsi"/>
          <w:noProof/>
          <w:sz w:val="22"/>
        </w:rPr>
      </w:pPr>
      <w:hyperlink w:anchor="_Toc256000012" w:history="1">
        <w:r>
          <w:rPr>
            <w:rStyle w:val="Hyperlink"/>
            <w:rFonts w:eastAsia="Calibri"/>
            <w:lang w:eastAsia="nl-NL" w:bidi="nl-NL"/>
          </w:rPr>
          <w:t>IV.</w:t>
        </w:r>
        <w:r>
          <w:rPr>
            <w:rFonts w:eastAsia="Calibri" w:asciiTheme="minorHAnsi" w:hAnsiTheme="minorHAnsi"/>
            <w:noProof/>
            <w:sz w:val="22"/>
            <w:lang w:eastAsia="nl-NL" w:bidi="nl-NL"/>
          </w:rPr>
          <w:tab/>
        </w:r>
        <w:r w:rsidRPr="00852C02">
          <w:rPr>
            <w:rStyle w:val="Hyperlink"/>
            <w:lang w:val="pt-BR"/>
          </w:rPr>
          <w:t>REGRAS PARA CONTRATAÇÃO DE TRABALHADORES TEMPORÁRIOS</w:t>
        </w:r>
        <w:r>
          <w:tab/>
        </w:r>
        <w:r>
          <w:fldChar w:fldCharType="begin"/>
        </w:r>
        <w:r>
          <w:instrText xml:space="preserve"> PAGEREF _Toc256000012 \h </w:instrText>
        </w:r>
        <w:r>
          <w:fldChar w:fldCharType="separate"/>
        </w:r>
        <w:r>
          <w:t>6</w:t>
        </w:r>
        <w:r>
          <w:fldChar w:fldCharType="end"/>
        </w:r>
      </w:hyperlink>
    </w:p>
    <w:p>
      <w:pPr>
        <w:pStyle w:val="TOC2"/>
        <w:tabs>
          <w:tab w:val="left" w:pos="720"/>
          <w:tab w:val="right" w:leader="dot" w:pos="10358"/>
        </w:tabs>
        <w:rPr>
          <w:rFonts w:asciiTheme="minorHAnsi" w:hAnsiTheme="minorHAnsi"/>
          <w:noProof/>
          <w:sz w:val="22"/>
        </w:rPr>
      </w:pPr>
      <w:hyperlink w:anchor="_Toc256000013" w:history="1">
        <w:r>
          <w:rPr>
            <w:rStyle w:val="Hyperlink"/>
          </w:rPr>
          <w:t>A.</w:t>
        </w:r>
        <w:r>
          <w:rPr>
            <w:rFonts w:asciiTheme="minorHAnsi" w:hAnsiTheme="minorHAnsi"/>
            <w:noProof/>
            <w:sz w:val="22"/>
          </w:rPr>
          <w:tab/>
        </w:r>
        <w:r w:rsidRPr="3766A6B7">
          <w:rPr>
            <w:rStyle w:val="Hyperlink"/>
            <w:lang w:val="pt-BR"/>
          </w:rPr>
          <w:t>Processo geral de tomada de decisão</w:t>
        </w:r>
        <w:r>
          <w:tab/>
        </w:r>
        <w:r>
          <w:fldChar w:fldCharType="begin"/>
        </w:r>
        <w:r>
          <w:instrText xml:space="preserve"> PAGEREF _Toc256000013 \h </w:instrText>
        </w:r>
        <w:r>
          <w:fldChar w:fldCharType="separate"/>
        </w:r>
        <w:r>
          <w:t>6</w:t>
        </w:r>
        <w:r>
          <w:fldChar w:fldCharType="end"/>
        </w:r>
      </w:hyperlink>
    </w:p>
    <w:p>
      <w:pPr>
        <w:pStyle w:val="TOC2"/>
        <w:tabs>
          <w:tab w:val="left" w:pos="720"/>
          <w:tab w:val="right" w:leader="dot" w:pos="10358"/>
        </w:tabs>
        <w:rPr>
          <w:rFonts w:asciiTheme="minorHAnsi" w:hAnsiTheme="minorHAnsi"/>
          <w:noProof/>
          <w:sz w:val="22"/>
        </w:rPr>
      </w:pPr>
      <w:hyperlink w:anchor="_Toc256000014" w:history="1">
        <w:r>
          <w:rPr>
            <w:rStyle w:val="Hyperlink"/>
          </w:rPr>
          <w:t>B.</w:t>
        </w:r>
        <w:r>
          <w:rPr>
            <w:rFonts w:asciiTheme="minorHAnsi" w:hAnsiTheme="minorHAnsi"/>
            <w:noProof/>
            <w:sz w:val="22"/>
          </w:rPr>
          <w:tab/>
        </w:r>
        <w:r w:rsidRPr="0051357C">
          <w:rPr>
            <w:rStyle w:val="Hyperlink"/>
            <w:lang w:val="pt-BR"/>
          </w:rPr>
          <w:t>Lista global de fornecedores preferenciais</w:t>
        </w:r>
        <w:r>
          <w:tab/>
        </w:r>
        <w:r>
          <w:fldChar w:fldCharType="begin"/>
        </w:r>
        <w:r>
          <w:instrText xml:space="preserve"> PAGEREF _Toc256000014 \h </w:instrText>
        </w:r>
        <w:r>
          <w:fldChar w:fldCharType="separate"/>
        </w:r>
        <w:r>
          <w:t>7</w:t>
        </w:r>
        <w:r>
          <w:fldChar w:fldCharType="end"/>
        </w:r>
      </w:hyperlink>
    </w:p>
    <w:p>
      <w:pPr>
        <w:pStyle w:val="TOC2"/>
        <w:tabs>
          <w:tab w:val="left" w:pos="720"/>
          <w:tab w:val="right" w:leader="dot" w:pos="10358"/>
        </w:tabs>
        <w:rPr>
          <w:rFonts w:asciiTheme="minorHAnsi" w:hAnsiTheme="minorHAnsi"/>
          <w:noProof/>
          <w:sz w:val="22"/>
        </w:rPr>
      </w:pPr>
      <w:hyperlink w:anchor="_Toc256000015" w:history="1">
        <w:r>
          <w:rPr>
            <w:rStyle w:val="Hyperlink"/>
          </w:rPr>
          <w:t>C.</w:t>
        </w:r>
        <w:r>
          <w:rPr>
            <w:rFonts w:asciiTheme="minorHAnsi" w:hAnsiTheme="minorHAnsi"/>
            <w:noProof/>
            <w:sz w:val="22"/>
          </w:rPr>
          <w:tab/>
        </w:r>
        <w:r w:rsidRPr="74515DB9">
          <w:rPr>
            <w:rStyle w:val="Hyperlink"/>
            <w:lang w:val="pt-BR"/>
          </w:rPr>
          <w:t>Engajando o Strategic Sourcing</w:t>
        </w:r>
        <w:r>
          <w:tab/>
        </w:r>
        <w:r>
          <w:fldChar w:fldCharType="begin"/>
        </w:r>
        <w:r>
          <w:instrText xml:space="preserve"> PAGEREF _Toc256000015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6" w:history="1">
        <w:r w:rsidRPr="00FA438B" w:rsidR="00141344">
          <w:rPr>
            <w:rStyle w:val="Hyperlink"/>
            <w:lang w:val="pt-BR"/>
          </w:rPr>
          <w:t>Engajando Trabalhadores Temporários</w:t>
        </w:r>
        <w:r>
          <w:tab/>
        </w:r>
        <w:r>
          <w:fldChar w:fldCharType="begin"/>
        </w:r>
        <w:r>
          <w:instrText xml:space="preserve"> PAGEREF _Toc256000016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7" w:history="1">
        <w:r w:rsidRPr="6B3824FD">
          <w:rPr>
            <w:rStyle w:val="Hyperlink"/>
            <w:lang w:val="pt-BR"/>
          </w:rPr>
          <w:t>Aprovação para recrutar</w:t>
        </w:r>
        <w:r>
          <w:tab/>
        </w:r>
        <w:r>
          <w:fldChar w:fldCharType="begin"/>
        </w:r>
        <w:r>
          <w:instrText xml:space="preserve"> PAGEREF _Toc256000017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8" w:history="1">
        <w:r w:rsidRPr="6B3824FD">
          <w:rPr>
            <w:rStyle w:val="Hyperlink"/>
            <w:rFonts w:eastAsia="Calibri"/>
            <w:lang w:val="pt-BR" w:eastAsia="nl-NL" w:bidi="nl-NL"/>
          </w:rPr>
          <w:t>Duração da Tarefa</w:t>
        </w:r>
        <w:r>
          <w:tab/>
        </w:r>
        <w:r>
          <w:fldChar w:fldCharType="begin"/>
        </w:r>
        <w:r>
          <w:instrText xml:space="preserve"> PAGEREF _Toc256000018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9" w:history="1">
        <w:r w:rsidRPr="0051357C">
          <w:rPr>
            <w:rStyle w:val="Hyperlink"/>
            <w:rFonts w:eastAsia="Calibri"/>
            <w:lang w:val="pt-BR" w:eastAsia="nl-NL" w:bidi="nl-NL"/>
          </w:rPr>
          <w:t>Extensões de Atribuição</w:t>
        </w:r>
        <w:r>
          <w:tab/>
        </w:r>
        <w:r>
          <w:fldChar w:fldCharType="begin"/>
        </w:r>
        <w:r>
          <w:instrText xml:space="preserve"> PAGEREF _Toc256000019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20" w:history="1">
        <w:r w:rsidRPr="0051357C">
          <w:rPr>
            <w:rStyle w:val="Hyperlink"/>
            <w:rFonts w:eastAsia="Calibri"/>
            <w:lang w:val="pt-BR" w:eastAsia="nl-NL" w:bidi="nl-NL"/>
          </w:rPr>
          <w:t>Período de separação do tempo de permanência do trabalhador</w:t>
        </w:r>
        <w:r>
          <w:tab/>
        </w:r>
        <w:r>
          <w:fldChar w:fldCharType="begin"/>
        </w:r>
        <w:r>
          <w:instrText xml:space="preserve"> PAGEREF _Toc256000020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21" w:history="1">
        <w:r w:rsidRPr="0051357C">
          <w:rPr>
            <w:rStyle w:val="Hyperlink"/>
            <w:rFonts w:eastAsia="Calibri"/>
            <w:lang w:val="pt-BR" w:eastAsia="nl-NL" w:bidi="nl-NL"/>
          </w:rPr>
          <w:t>Horas extras de atribuição</w:t>
        </w:r>
        <w:r>
          <w:tab/>
        </w:r>
        <w:r>
          <w:fldChar w:fldCharType="begin"/>
        </w:r>
        <w:r>
          <w:instrText xml:space="preserve"> PAGEREF _Toc256000021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2" w:history="1">
        <w:r w:rsidRPr="0051357C">
          <w:rPr>
            <w:rStyle w:val="Hyperlink"/>
            <w:rFonts w:eastAsia="Calibri"/>
            <w:lang w:val="pt-BR" w:eastAsia="nl-NL" w:bidi="nl-NL"/>
          </w:rPr>
          <w:t>Licença</w:t>
        </w:r>
        <w:r>
          <w:tab/>
        </w:r>
        <w:r>
          <w:fldChar w:fldCharType="begin"/>
        </w:r>
        <w:r>
          <w:instrText xml:space="preserve"> PAGEREF _Toc256000022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3" w:history="1">
        <w:r>
          <w:rPr>
            <w:rStyle w:val="Hyperlink"/>
            <w:rFonts w:eastAsia="Calibri"/>
            <w:lang w:val="pt-BR" w:eastAsia="nl-NL" w:bidi="nl-NL"/>
          </w:rPr>
          <w:t>Contratações Indicadas</w:t>
        </w:r>
        <w:r>
          <w:tab/>
        </w:r>
        <w:r>
          <w:fldChar w:fldCharType="begin"/>
        </w:r>
        <w:r>
          <w:instrText xml:space="preserve"> PAGEREF _Toc256000023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4" w:history="1">
        <w:r w:rsidRPr="0051357C">
          <w:rPr>
            <w:rStyle w:val="Hyperlink"/>
            <w:rFonts w:eastAsia="Calibri"/>
            <w:lang w:val="pt-BR" w:eastAsia="nl-NL" w:bidi="nl-NL"/>
          </w:rPr>
          <w:t>Despesas e Reembolsos</w:t>
        </w:r>
        <w:r>
          <w:tab/>
        </w:r>
        <w:r>
          <w:fldChar w:fldCharType="begin"/>
        </w:r>
        <w:r>
          <w:instrText xml:space="preserve"> PAGEREF _Toc256000024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5" w:history="1">
        <w:r w:rsidRPr="0051357C">
          <w:rPr>
            <w:rStyle w:val="Hyperlink"/>
            <w:rFonts w:eastAsia="Calibri"/>
            <w:lang w:val="pt-BR" w:eastAsia="nl-NL" w:bidi="nl-NL"/>
          </w:rPr>
          <w:t>Gestão de Riscos</w:t>
        </w:r>
        <w:r>
          <w:tab/>
        </w:r>
        <w:r>
          <w:fldChar w:fldCharType="begin"/>
        </w:r>
        <w:r>
          <w:instrText xml:space="preserve"> PAGEREF _Toc256000025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6" w:history="1">
        <w:r w:rsidRPr="0051357C">
          <w:rPr>
            <w:rStyle w:val="Hyperlink"/>
            <w:rFonts w:eastAsia="Calibri"/>
            <w:lang w:val="pt-BR" w:eastAsia="nl-NL" w:bidi="nl-NL"/>
          </w:rPr>
          <w:t>Instruções de integração</w:t>
        </w:r>
        <w:r>
          <w:tab/>
        </w:r>
        <w:r>
          <w:fldChar w:fldCharType="begin"/>
        </w:r>
        <w:r>
          <w:instrText xml:space="preserve"> PAGEREF _Toc256000026 \h </w:instrText>
        </w:r>
        <w:r>
          <w:fldChar w:fldCharType="separate"/>
        </w:r>
        <w:r>
          <w:t>10</w:t>
        </w:r>
        <w:r>
          <w:fldChar w:fldCharType="end"/>
        </w:r>
      </w:hyperlink>
    </w:p>
    <w:p>
      <w:pPr>
        <w:pStyle w:val="TOC3"/>
        <w:tabs>
          <w:tab w:val="right" w:leader="dot" w:pos="10358"/>
        </w:tabs>
        <w:rPr>
          <w:rFonts w:asciiTheme="minorHAnsi" w:hAnsiTheme="minorHAnsi"/>
          <w:noProof/>
          <w:sz w:val="22"/>
        </w:rPr>
      </w:pPr>
      <w:hyperlink w:anchor="_Toc256000027" w:history="1">
        <w:r w:rsidRPr="0051357C">
          <w:rPr>
            <w:rStyle w:val="Hyperlink"/>
            <w:rFonts w:eastAsia="Calibri"/>
            <w:lang w:val="pt-BR" w:eastAsia="nl-NL" w:bidi="nl-NL"/>
          </w:rPr>
          <w:t>Período de aviso prévio</w:t>
        </w:r>
        <w:r>
          <w:tab/>
        </w:r>
        <w:r>
          <w:fldChar w:fldCharType="begin"/>
        </w:r>
        <w:r>
          <w:instrText xml:space="preserve"> PAGEREF _Toc256000027 \h </w:instrText>
        </w:r>
        <w:r>
          <w:fldChar w:fldCharType="separate"/>
        </w:r>
        <w:r>
          <w:t>10</w:t>
        </w:r>
        <w:r>
          <w:fldChar w:fldCharType="end"/>
        </w:r>
      </w:hyperlink>
    </w:p>
    <w:p>
      <w:pPr>
        <w:pStyle w:val="TOC3"/>
        <w:tabs>
          <w:tab w:val="right" w:leader="dot" w:pos="10358"/>
        </w:tabs>
        <w:rPr>
          <w:rFonts w:asciiTheme="minorHAnsi" w:hAnsiTheme="minorHAnsi"/>
          <w:noProof/>
          <w:sz w:val="22"/>
        </w:rPr>
      </w:pPr>
      <w:hyperlink w:anchor="_Toc256000028" w:history="1">
        <w:r w:rsidRPr="0051357C">
          <w:rPr>
            <w:rStyle w:val="Hyperlink"/>
            <w:rFonts w:eastAsia="Calibri"/>
            <w:lang w:val="pt-BR" w:eastAsia="nl-NL" w:bidi="nl-NL"/>
          </w:rPr>
          <w:t>Transferências temporárias para permanentes (temp2perm)</w:t>
        </w:r>
        <w:r>
          <w:tab/>
        </w:r>
        <w:r>
          <w:fldChar w:fldCharType="begin"/>
        </w:r>
        <w:r>
          <w:instrText xml:space="preserve"> PAGEREF _Toc256000028 \h </w:instrText>
        </w:r>
        <w:r>
          <w:fldChar w:fldCharType="separate"/>
        </w:r>
        <w:r>
          <w:t>10</w:t>
        </w:r>
        <w:r>
          <w:fldChar w:fldCharType="end"/>
        </w:r>
      </w:hyperlink>
    </w:p>
    <w:p>
      <w:pPr>
        <w:pStyle w:val="TOC1"/>
        <w:rPr>
          <w:rFonts w:asciiTheme="minorHAnsi" w:hAnsiTheme="minorHAnsi"/>
          <w:noProof/>
          <w:sz w:val="22"/>
        </w:rPr>
      </w:pPr>
      <w:hyperlink w:anchor="_Toc256000029" w:history="1">
        <w:r>
          <w:rPr>
            <w:rStyle w:val="Hyperlink"/>
            <w:rFonts w:cstheme="majorHAnsi"/>
          </w:rPr>
          <w:t>V.</w:t>
        </w:r>
        <w:r>
          <w:rPr>
            <w:rFonts w:asciiTheme="minorHAnsi" w:hAnsiTheme="minorHAnsi" w:cstheme="majorHAnsi"/>
            <w:noProof/>
            <w:sz w:val="22"/>
          </w:rPr>
          <w:tab/>
        </w:r>
        <w:r w:rsidRPr="00593902">
          <w:rPr>
            <w:rStyle w:val="Hyperlink"/>
            <w:rFonts w:cstheme="majorHAnsi"/>
            <w:lang w:val="pt-BR"/>
          </w:rPr>
          <w:t>PAPÉIS E RESPONSABILIDADES</w:t>
        </w:r>
        <w:r>
          <w:tab/>
        </w:r>
        <w:r>
          <w:fldChar w:fldCharType="begin"/>
        </w:r>
        <w:r>
          <w:instrText xml:space="preserve"> PAGEREF _Toc256000029 \h </w:instrText>
        </w:r>
        <w:r>
          <w:fldChar w:fldCharType="separate"/>
        </w:r>
        <w:r>
          <w:t>10</w:t>
        </w:r>
        <w:r>
          <w:fldChar w:fldCharType="end"/>
        </w:r>
      </w:hyperlink>
    </w:p>
    <w:p>
      <w:pPr>
        <w:pStyle w:val="TOC1"/>
        <w:rPr>
          <w:rFonts w:asciiTheme="minorHAnsi" w:hAnsiTheme="minorHAnsi"/>
          <w:noProof/>
          <w:sz w:val="22"/>
        </w:rPr>
      </w:pPr>
      <w:hyperlink w:anchor="_Toc256000030" w:history="1">
        <w:r>
          <w:rPr>
            <w:rStyle w:val="Hyperlink"/>
          </w:rPr>
          <w:t>VI.</w:t>
        </w:r>
        <w:r>
          <w:rPr>
            <w:rFonts w:asciiTheme="minorHAnsi" w:hAnsiTheme="minorHAnsi"/>
            <w:noProof/>
            <w:sz w:val="22"/>
          </w:rPr>
          <w:tab/>
        </w:r>
        <w:r w:rsidRPr="00B53FC1">
          <w:rPr>
            <w:rStyle w:val="Hyperlink"/>
            <w:lang w:val="pt-BR"/>
          </w:rPr>
          <w:t>Diretrizes de adaptação local</w:t>
        </w:r>
        <w:r>
          <w:tab/>
        </w:r>
        <w:r>
          <w:fldChar w:fldCharType="begin"/>
        </w:r>
        <w:r>
          <w:instrText xml:space="preserve"> PAGEREF _Toc256000030 \h </w:instrText>
        </w:r>
        <w:r>
          <w:fldChar w:fldCharType="separate"/>
        </w:r>
        <w:r>
          <w:t>11</w:t>
        </w:r>
        <w:r>
          <w:fldChar w:fldCharType="end"/>
        </w:r>
      </w:hyperlink>
    </w:p>
    <w:p>
      <w:pPr>
        <w:pStyle w:val="TOC2"/>
        <w:tabs>
          <w:tab w:val="right" w:leader="dot" w:pos="10358"/>
        </w:tabs>
        <w:rPr>
          <w:rFonts w:asciiTheme="minorHAnsi" w:hAnsiTheme="minorHAnsi"/>
          <w:noProof/>
          <w:sz w:val="22"/>
        </w:rPr>
      </w:pPr>
      <w:hyperlink w:anchor="_Toc256000031" w:history="1">
        <w:r w:rsidRPr="002436BF">
          <w:rPr>
            <w:rStyle w:val="Hyperlink"/>
            <w:lang w:val="pt-BR"/>
          </w:rPr>
          <w:t>Etapas para adaptação</w:t>
        </w:r>
        <w:r>
          <w:tab/>
        </w:r>
        <w:r>
          <w:fldChar w:fldCharType="begin"/>
        </w:r>
        <w:r>
          <w:instrText xml:space="preserve"> PAGEREF _Toc256000031 \h </w:instrText>
        </w:r>
        <w:r>
          <w:fldChar w:fldCharType="separate"/>
        </w:r>
        <w:r>
          <w:t>11</w:t>
        </w:r>
        <w:r>
          <w:fldChar w:fldCharType="end"/>
        </w:r>
      </w:hyperlink>
    </w:p>
    <w:p>
      <w:pPr>
        <w:pStyle w:val="TOC3"/>
        <w:tabs>
          <w:tab w:val="right" w:leader="dot" w:pos="10358"/>
        </w:tabs>
        <w:rPr>
          <w:rFonts w:asciiTheme="minorHAnsi" w:hAnsiTheme="minorHAnsi"/>
          <w:noProof/>
          <w:sz w:val="22"/>
        </w:rPr>
      </w:pPr>
      <w:hyperlink w:anchor="_Toc256000032" w:history="1">
        <w:r w:rsidRPr="00E51450">
          <w:rPr>
            <w:rStyle w:val="Hyperlink"/>
            <w:rFonts w:ascii="Calibri" w:hAnsi="Calibri" w:cs="Calibri"/>
            <w:lang w:val="pt-BR"/>
          </w:rPr>
          <w:t>1. Revisão e avaliação</w:t>
        </w:r>
        <w:r>
          <w:tab/>
        </w:r>
        <w:r>
          <w:fldChar w:fldCharType="begin"/>
        </w:r>
        <w:r>
          <w:instrText xml:space="preserve"> PAGEREF _Toc256000032 \h </w:instrText>
        </w:r>
        <w:r>
          <w:fldChar w:fldCharType="separate"/>
        </w:r>
        <w:r>
          <w:t>11</w:t>
        </w:r>
        <w:r>
          <w:fldChar w:fldCharType="end"/>
        </w:r>
      </w:hyperlink>
    </w:p>
    <w:p>
      <w:pPr>
        <w:pStyle w:val="TOC3"/>
        <w:tabs>
          <w:tab w:val="right" w:leader="dot" w:pos="10358"/>
        </w:tabs>
        <w:rPr>
          <w:rFonts w:asciiTheme="minorHAnsi" w:hAnsiTheme="minorHAnsi"/>
          <w:noProof/>
          <w:sz w:val="22"/>
        </w:rPr>
      </w:pPr>
      <w:hyperlink w:anchor="_Toc256000033" w:history="1">
        <w:r w:rsidRPr="00E51450">
          <w:rPr>
            <w:rStyle w:val="Hyperlink"/>
            <w:lang w:val="pt-BR"/>
          </w:rPr>
          <w:t>2. Contextualização local</w:t>
        </w:r>
        <w:r>
          <w:tab/>
        </w:r>
        <w:r>
          <w:fldChar w:fldCharType="begin"/>
        </w:r>
        <w:r>
          <w:instrText xml:space="preserve"> PAGEREF _Toc256000033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4" w:history="1">
        <w:r w:rsidRPr="00592AE0">
          <w:rPr>
            <w:rStyle w:val="Hyperlink"/>
            <w:lang w:val="pt-BR"/>
          </w:rPr>
          <w:t>3. Processo de aprovação</w:t>
        </w:r>
        <w:r>
          <w:tab/>
        </w:r>
        <w:r>
          <w:fldChar w:fldCharType="begin"/>
        </w:r>
        <w:r>
          <w:instrText xml:space="preserve"> PAGEREF _Toc256000034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5" w:history="1">
        <w:r w:rsidRPr="006F465E">
          <w:rPr>
            <w:rStyle w:val="Hyperlink"/>
            <w:lang w:val="pt-BR"/>
          </w:rPr>
          <w:t>4. Comunicação e Treinamento</w:t>
        </w:r>
        <w:r>
          <w:tab/>
        </w:r>
        <w:r>
          <w:fldChar w:fldCharType="begin"/>
        </w:r>
        <w:r>
          <w:instrText xml:space="preserve"> PAGEREF _Toc256000035 \h </w:instrText>
        </w:r>
        <w:r>
          <w:fldChar w:fldCharType="separate"/>
        </w:r>
        <w:r>
          <w:t>13</w:t>
        </w:r>
        <w:r>
          <w:fldChar w:fldCharType="end"/>
        </w:r>
      </w:hyperlink>
    </w:p>
    <w:p>
      <w:pPr>
        <w:pStyle w:val="TOC3"/>
        <w:tabs>
          <w:tab w:val="right" w:leader="dot" w:pos="10358"/>
        </w:tabs>
        <w:rPr>
          <w:rFonts w:asciiTheme="minorHAnsi" w:hAnsiTheme="minorHAnsi"/>
          <w:noProof/>
          <w:sz w:val="22"/>
        </w:rPr>
      </w:pPr>
      <w:hyperlink w:anchor="_Toc256000036" w:history="1">
        <w:r w:rsidRPr="009A2E29">
          <w:rPr>
            <w:rStyle w:val="Hyperlink"/>
            <w:lang w:val="pt-BR"/>
          </w:rPr>
          <w:t>5. Monitoramento e relatórios</w:t>
        </w:r>
        <w:r>
          <w:tab/>
        </w:r>
        <w:r>
          <w:fldChar w:fldCharType="begin"/>
        </w:r>
        <w:r>
          <w:instrText xml:space="preserve"> PAGEREF _Toc256000036 \h </w:instrText>
        </w:r>
        <w:r>
          <w:fldChar w:fldCharType="separate"/>
        </w:r>
        <w:r>
          <w:t>13</w:t>
        </w:r>
        <w:r>
          <w:fldChar w:fldCharType="end"/>
        </w:r>
      </w:hyperlink>
    </w:p>
    <w:p w:rsidR="007061CA" w:rsidRPr="00D20217" w:rsidP="004F2E81">
      <w:pPr>
        <w:rPr>
          <w:rFonts w:asciiTheme="majorHAnsi" w:hAnsiTheme="majorHAnsi" w:cstheme="majorHAnsi"/>
          <w:sz w:val="22"/>
          <w:szCs w:val="22"/>
        </w:rPr>
      </w:pPr>
      <w:r w:rsidRPr="00D20217">
        <w:rPr>
          <w:rFonts w:asciiTheme="majorHAnsi" w:hAnsiTheme="majorHAnsi" w:cstheme="majorHAnsi"/>
          <w:sz w:val="22"/>
          <w:szCs w:val="22"/>
        </w:rPr>
        <w:fldChar w:fldCharType="end"/>
      </w:r>
    </w:p>
    <w:p w:rsidR="004208EF" w:rsidRPr="00D20217" w:rsidP="004F2E81" w14:paraId="3DB078F5" w14:textId="77777777">
      <w:pPr>
        <w:rPr>
          <w:rFonts w:asciiTheme="majorHAnsi" w:hAnsiTheme="majorHAnsi" w:cstheme="majorHAnsi"/>
          <w:sz w:val="22"/>
          <w:szCs w:val="22"/>
        </w:rPr>
      </w:pPr>
    </w:p>
    <w:p w:rsidR="004208EF" w:rsidP="004F2E81" w14:paraId="599E4946" w14:textId="77777777">
      <w:pPr>
        <w:rPr>
          <w:rFonts w:asciiTheme="majorHAnsi" w:hAnsiTheme="majorHAnsi" w:cstheme="majorHAnsi"/>
          <w:sz w:val="22"/>
          <w:szCs w:val="22"/>
        </w:rPr>
      </w:pPr>
    </w:p>
    <w:p w:rsidR="009B6399" w:rsidP="004F2E81" w14:paraId="7073FCE0" w14:textId="77777777">
      <w:pPr>
        <w:rPr>
          <w:rFonts w:asciiTheme="majorHAnsi" w:hAnsiTheme="majorHAnsi" w:cstheme="majorHAnsi"/>
          <w:sz w:val="22"/>
          <w:szCs w:val="22"/>
        </w:rPr>
      </w:pPr>
    </w:p>
    <w:p w:rsidR="009B6399" w:rsidP="004F2E81" w14:paraId="5FE81C71" w14:textId="77777777">
      <w:pPr>
        <w:rPr>
          <w:rFonts w:asciiTheme="majorHAnsi" w:hAnsiTheme="majorHAnsi" w:cstheme="majorHAnsi"/>
          <w:sz w:val="22"/>
          <w:szCs w:val="22"/>
        </w:rPr>
      </w:pPr>
    </w:p>
    <w:p w:rsidR="009B6399" w:rsidP="004F2E81" w14:paraId="58EC99D7" w14:textId="77777777">
      <w:pPr>
        <w:rPr>
          <w:rFonts w:asciiTheme="majorHAnsi" w:hAnsiTheme="majorHAnsi" w:cstheme="majorHAnsi"/>
          <w:sz w:val="22"/>
          <w:szCs w:val="22"/>
        </w:rPr>
      </w:pPr>
    </w:p>
    <w:p w:rsidR="009B6399" w:rsidP="004F2E81" w14:paraId="6DA1268C" w14:textId="77777777">
      <w:pPr>
        <w:rPr>
          <w:rFonts w:asciiTheme="majorHAnsi" w:hAnsiTheme="majorHAnsi" w:cstheme="majorHAnsi"/>
          <w:sz w:val="22"/>
          <w:szCs w:val="22"/>
        </w:rPr>
      </w:pPr>
    </w:p>
    <w:p w:rsidR="00926647" w14:paraId="712B1E63" w14:textId="00D3D731">
      <w:pPr>
        <w:rPr>
          <w:rFonts w:asciiTheme="majorHAnsi" w:hAnsiTheme="majorHAnsi" w:cstheme="majorHAnsi"/>
          <w:sz w:val="22"/>
          <w:szCs w:val="22"/>
        </w:rPr>
      </w:pPr>
      <w:r>
        <w:rPr>
          <w:rFonts w:asciiTheme="majorHAnsi" w:hAnsiTheme="majorHAnsi" w:cstheme="majorHAnsi"/>
          <w:sz w:val="22"/>
          <w:szCs w:val="22"/>
        </w:rPr>
        <w:br w:type="page"/>
      </w:r>
    </w:p>
    <w:p w:rsidR="006B02F5" w:rsidRPr="0051357C" w:rsidP="00337B8A" w14:paraId="5E6E7328" w14:textId="083E29BC">
      <w:pPr>
        <w:pStyle w:val="Heading1"/>
        <w:bidi w:val="0"/>
        <w:spacing w:after="240"/>
        <w:ind w:left="90" w:hanging="90"/>
        <w:rPr>
          <w:rFonts w:cstheme="majorHAnsi"/>
          <w:color w:val="auto"/>
        </w:rPr>
      </w:pPr>
      <w:bookmarkStart w:id="0" w:name="_Toc256000000"/>
      <w:r w:rsidRPr="0051357C">
        <w:rPr>
          <w:rFonts w:cstheme="majorHAnsi"/>
          <w:color w:val="auto"/>
          <w:rtl w:val="0"/>
          <w:lang w:val="pt-BR"/>
        </w:rPr>
        <w:t>OBJETIVO</w:t>
      </w:r>
      <w:bookmarkEnd w:id="0"/>
    </w:p>
    <w:p w:rsidR="0015669C" w:rsidP="0015669C" w14:paraId="3F1D2548" w14:textId="07E8E0C7">
      <w:pPr>
        <w:bidi w:val="0"/>
        <w:jc w:val="both"/>
        <w:rPr>
          <w:rFonts w:asciiTheme="majorHAnsi" w:hAnsiTheme="majorHAnsi" w:cstheme="majorHAnsi"/>
          <w:sz w:val="22"/>
          <w:szCs w:val="22"/>
        </w:rPr>
      </w:pPr>
      <w:r w:rsidRPr="000104AC">
        <w:rPr>
          <w:rFonts w:asciiTheme="majorHAnsi" w:hAnsiTheme="majorHAnsi" w:cstheme="majorHAnsi"/>
          <w:sz w:val="22"/>
          <w:szCs w:val="22"/>
          <w:rtl w:val="0"/>
          <w:lang w:val="pt-BR"/>
        </w:rPr>
        <w:t>Como parte de nossa iniciativa de gerenciar e controlar melhor os gastos com nossa força de trabalho temporária, estamos introduzindo esta política para otimizar o fornecimento desses serviços. Nosso objetivo não é apenas reduzir custos, mas aumentar a eficiência operacional e criar maior valor geral para a empresa, fortalecendo e padronizando nossos processos globalmente. O não cumprimento pode resultar no cancelamento imediato da solicitação ou na renegociação do contrato, conforme permitido pela legislação aplicável.</w:t>
      </w:r>
    </w:p>
    <w:p w:rsidR="000104AC" w:rsidRPr="00FE762E" w:rsidP="0051357C" w14:paraId="51C1218A" w14:textId="77777777">
      <w:pPr>
        <w:jc w:val="both"/>
        <w:rPr>
          <w:rFonts w:asciiTheme="majorHAnsi" w:hAnsiTheme="majorHAnsi" w:cstheme="majorHAnsi"/>
          <w:sz w:val="22"/>
          <w:szCs w:val="22"/>
        </w:rPr>
      </w:pPr>
    </w:p>
    <w:p w:rsidR="0015669C" w:rsidP="0051357C" w14:paraId="33D11DFA" w14:textId="51E9E7DC">
      <w:pPr>
        <w:bidi w:val="0"/>
        <w:jc w:val="both"/>
        <w:rPr>
          <w:rFonts w:asciiTheme="majorHAnsi" w:hAnsiTheme="majorHAnsi" w:cstheme="majorHAnsi"/>
          <w:sz w:val="22"/>
          <w:szCs w:val="22"/>
        </w:rPr>
      </w:pPr>
      <w:r w:rsidRPr="00FE762E">
        <w:rPr>
          <w:rFonts w:asciiTheme="majorHAnsi" w:hAnsiTheme="majorHAnsi" w:cstheme="majorHAnsi"/>
          <w:sz w:val="22"/>
          <w:szCs w:val="22"/>
          <w:rtl w:val="0"/>
          <w:lang w:val="pt-BR"/>
        </w:rPr>
        <w:t xml:space="preserve">Este documento fornece uma estrutura abrangente para gerenciar compromissos de força de trabalho externa em todas as entidades legais da Brink's. Inclui diretrizes importantes, como o uso de listas de fornecedores preferenciais e regras de atribuição, além de garantir uma distinção clara entre força de trabalho temporária (mão de obra temporária e contratados) e contratações baseadas em resultados. </w:t>
      </w:r>
    </w:p>
    <w:p w:rsidR="00523910" w:rsidP="00AD5774" w14:paraId="3DEFC09B" w14:textId="77777777">
      <w:pPr>
        <w:jc w:val="both"/>
        <w:rPr>
          <w:rFonts w:asciiTheme="majorHAnsi" w:hAnsiTheme="majorHAnsi" w:cstheme="majorHAnsi"/>
          <w:sz w:val="22"/>
          <w:szCs w:val="22"/>
        </w:rPr>
      </w:pPr>
    </w:p>
    <w:p w:rsidR="00523910" w:rsidRPr="0051357C" w:rsidP="00523910" w14:paraId="126180BB" w14:textId="0FFF2AB2">
      <w:pPr>
        <w:pStyle w:val="Heading1"/>
        <w:bidi w:val="0"/>
        <w:spacing w:before="240" w:after="240"/>
        <w:rPr>
          <w:rFonts w:cstheme="majorHAnsi"/>
          <w:color w:val="auto"/>
        </w:rPr>
      </w:pPr>
      <w:bookmarkStart w:id="1" w:name="_Toc256000001"/>
      <w:r w:rsidRPr="0051357C">
        <w:rPr>
          <w:rFonts w:cstheme="majorHAnsi"/>
          <w:color w:val="auto"/>
          <w:rtl w:val="0"/>
          <w:lang w:val="pt-BR"/>
        </w:rPr>
        <w:t>DEFINIÇÕES</w:t>
      </w:r>
      <w:bookmarkEnd w:id="1"/>
    </w:p>
    <w:p w:rsidR="00EA4CA7" w:rsidP="00D20217" w14:paraId="7F3AAFCF" w14:textId="1182B6AE">
      <w:pPr>
        <w:pStyle w:val="ListParagraph"/>
        <w:numPr>
          <w:ilvl w:val="0"/>
          <w:numId w:val="6"/>
        </w:numPr>
        <w:bidi w:val="0"/>
        <w:jc w:val="both"/>
        <w:rPr>
          <w:rFonts w:asciiTheme="majorHAnsi" w:hAnsiTheme="majorHAnsi" w:cstheme="majorHAnsi"/>
          <w:sz w:val="22"/>
          <w:szCs w:val="22"/>
        </w:rPr>
      </w:pPr>
      <w:r w:rsidRPr="00DE4C10">
        <w:rPr>
          <w:rFonts w:asciiTheme="majorHAnsi" w:hAnsiTheme="majorHAnsi" w:cstheme="majorHAnsi"/>
          <w:b/>
          <w:bCs/>
          <w:sz w:val="22"/>
          <w:szCs w:val="22"/>
          <w:u w:val="single"/>
          <w:rtl w:val="0"/>
          <w:lang w:val="pt-BR"/>
        </w:rPr>
        <w:t>Co-Emprego</w:t>
      </w:r>
      <w:r w:rsidRPr="00EA4CA7">
        <w:rPr>
          <w:rFonts w:asciiTheme="majorHAnsi" w:hAnsiTheme="majorHAnsi" w:cstheme="majorHAnsi"/>
          <w:sz w:val="22"/>
          <w:szCs w:val="22"/>
          <w:rtl w:val="0"/>
          <w:lang w:val="pt-BR"/>
        </w:rPr>
        <w:t>: Um termo legal em que tanto a Brink's quanto a agência de recrutamento podem ser consideradas empregadoras de um trabalhador temporário devido ao envolvimento da Brink em sua supervisão, revisão salarial ou gerenciamento de desempenho. Essa situação pode levar a ações judiciais sobre benefícios e direitos dos funcionários.</w:t>
      </w:r>
    </w:p>
    <w:p w:rsidR="00E53EEE" w:rsidRPr="00EA4CA7" w:rsidP="00D20217" w14:paraId="14E33134" w14:textId="4C58ABC9">
      <w:pPr>
        <w:pStyle w:val="ListParagraph"/>
        <w:numPr>
          <w:ilvl w:val="0"/>
          <w:numId w:val="6"/>
        </w:numPr>
        <w:bidi w:val="0"/>
        <w:jc w:val="both"/>
        <w:rPr>
          <w:rFonts w:asciiTheme="majorHAnsi" w:hAnsiTheme="majorHAnsi" w:cstheme="majorHAnsi"/>
          <w:sz w:val="22"/>
          <w:szCs w:val="22"/>
        </w:rPr>
      </w:pPr>
      <w:r w:rsidRPr="00A96CF2">
        <w:rPr>
          <w:rFonts w:asciiTheme="majorHAnsi" w:hAnsiTheme="majorHAnsi" w:cstheme="majorHAnsi"/>
          <w:sz w:val="22"/>
          <w:szCs w:val="22"/>
          <w:rtl w:val="0"/>
          <w:lang w:val="pt-BR"/>
        </w:rPr>
        <w:t>Força de trabalho</w:t>
      </w:r>
      <w:r>
        <w:rPr>
          <w:rFonts w:asciiTheme="majorHAnsi" w:hAnsiTheme="majorHAnsi" w:cstheme="majorHAnsi"/>
          <w:b/>
          <w:bCs/>
          <w:sz w:val="22"/>
          <w:szCs w:val="22"/>
          <w:u w:val="single"/>
          <w:rtl w:val="0"/>
          <w:lang w:val="pt-BR"/>
        </w:rPr>
        <w:t xml:space="preserve"> </w:t>
      </w:r>
      <w:r w:rsidRPr="00A96CF2">
        <w:rPr>
          <w:rFonts w:asciiTheme="majorHAnsi" w:hAnsiTheme="majorHAnsi" w:cstheme="majorHAnsi"/>
          <w:sz w:val="22"/>
          <w:szCs w:val="22"/>
          <w:rtl w:val="0"/>
          <w:lang w:val="pt-BR"/>
        </w:rPr>
        <w:t xml:space="preserve">contingente: Refere-se a um grupo de trabalhadores não permanentes empregados de forma flexível e conforme necessário para atender às necessidades de negócios. Esses trabalhadores incluem mão de obra temporária fornecida por empresas de recrutamento, contratados independentes, freelancers e outros trabalhadores de curto prazo ou baseados em projetos contratados por meio de acordos ou contratos, também comumente chamados de trabalhadores temporários. Esses trabalhadores normalmente operam sob durações fixas ou declarações específicas de trabalho e são remunerados com base no tempo e no material, como taxas horárias ou diárias. </w:t>
      </w:r>
    </w:p>
    <w:p w:rsidR="00EA4CA7" w:rsidP="00D20217" w14:paraId="09778A9E" w14:textId="33001EAD">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pt-BR"/>
        </w:rPr>
        <w:t>Trabalhador</w:t>
      </w:r>
      <w:r w:rsidRPr="00DE4C10">
        <w:rPr>
          <w:rFonts w:asciiTheme="majorHAnsi" w:hAnsiTheme="majorHAnsi" w:cstheme="majorHAnsi"/>
          <w:b/>
          <w:bCs/>
          <w:sz w:val="22"/>
          <w:szCs w:val="22"/>
          <w:u w:val="single"/>
          <w:rtl w:val="0"/>
          <w:lang w:val="pt-BR"/>
        </w:rPr>
        <w:t xml:space="preserve"> </w:t>
      </w:r>
      <w:r w:rsidRPr="00EA4CA7">
        <w:rPr>
          <w:rFonts w:asciiTheme="majorHAnsi" w:hAnsiTheme="majorHAnsi" w:cstheme="majorHAnsi"/>
          <w:sz w:val="22"/>
          <w:szCs w:val="22"/>
          <w:rtl w:val="0"/>
          <w:lang w:val="pt-BR"/>
        </w:rPr>
        <w:t>Contingente: Um trabalhador não permanente normalmente contratado por meio de uma empresa de recrutamento por um período fixo. Os trabalhadores temporários são pagos com base no tempo e no material (por exemplo, taxas horárias ou diárias).</w:t>
      </w:r>
    </w:p>
    <w:p w:rsidR="00A571B1" w:rsidRPr="00EA4CA7" w:rsidP="00D20217" w14:paraId="332E6E35" w14:textId="0AA3431C">
      <w:pPr>
        <w:pStyle w:val="ListParagraph"/>
        <w:numPr>
          <w:ilvl w:val="0"/>
          <w:numId w:val="6"/>
        </w:numPr>
        <w:bidi w:val="0"/>
        <w:jc w:val="both"/>
        <w:rPr>
          <w:rFonts w:asciiTheme="majorHAnsi" w:hAnsiTheme="majorHAnsi" w:cstheme="majorHAnsi"/>
          <w:sz w:val="22"/>
          <w:szCs w:val="22"/>
        </w:rPr>
      </w:pPr>
      <w:r>
        <w:rPr>
          <w:rFonts w:asciiTheme="majorHAnsi" w:hAnsiTheme="majorHAnsi" w:cstheme="majorHAnsi"/>
          <w:sz w:val="22"/>
          <w:szCs w:val="22"/>
          <w:rtl w:val="0"/>
          <w:lang w:val="pt-BR"/>
        </w:rPr>
        <w:t>Trabalhador</w:t>
      </w:r>
      <w:r w:rsidRPr="00B974F6">
        <w:rPr>
          <w:rFonts w:asciiTheme="majorHAnsi" w:hAnsiTheme="majorHAnsi" w:cstheme="majorHAnsi"/>
          <w:b/>
          <w:bCs/>
          <w:sz w:val="22"/>
          <w:szCs w:val="22"/>
          <w:u w:val="single"/>
          <w:rtl w:val="0"/>
          <w:lang w:val="pt-BR"/>
        </w:rPr>
        <w:t xml:space="preserve"> </w:t>
      </w:r>
      <w:r>
        <w:rPr>
          <w:rFonts w:asciiTheme="majorHAnsi" w:hAnsiTheme="majorHAnsi" w:cstheme="majorHAnsi"/>
          <w:sz w:val="22"/>
          <w:szCs w:val="22"/>
          <w:rtl w:val="0"/>
          <w:lang w:val="pt-BR"/>
        </w:rPr>
        <w:t>do Conhecimento: Um indivíduo cujo trabalho principal envolve lidar ou trabalhar com informações, capital intelectual e conhecimento especializado, em vez de trabalho manual.</w:t>
      </w:r>
    </w:p>
    <w:p w:rsidR="00EA4CA7" w:rsidRPr="00EA4CA7" w:rsidP="00D20217" w14:paraId="4A0D90F6" w14:textId="52B61BFE">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pt-BR"/>
        </w:rPr>
        <w:t xml:space="preserve">Contrato </w:t>
      </w:r>
      <w:r w:rsidRPr="00DE4C10">
        <w:rPr>
          <w:rFonts w:asciiTheme="majorHAnsi" w:hAnsiTheme="majorHAnsi" w:cstheme="majorHAnsi"/>
          <w:b/>
          <w:bCs/>
          <w:sz w:val="22"/>
          <w:szCs w:val="22"/>
          <w:u w:val="single"/>
          <w:rtl w:val="0"/>
          <w:lang w:val="pt-BR"/>
        </w:rPr>
        <w:t>Mestre de Serviços (MSA):</w:t>
      </w:r>
      <w:r w:rsidRPr="00EA4CA7">
        <w:rPr>
          <w:rFonts w:asciiTheme="majorHAnsi" w:hAnsiTheme="majorHAnsi" w:cstheme="majorHAnsi"/>
          <w:sz w:val="22"/>
          <w:szCs w:val="22"/>
          <w:rtl w:val="0"/>
          <w:lang w:val="pt-BR"/>
        </w:rPr>
        <w:t xml:space="preserve"> Um contrato entre a Brink's e um fornecedor que descreve os termos gerais para futuras transações ou acordos, incluindo termos como pagamento, confidencialidade e resolução de disputas.</w:t>
      </w:r>
    </w:p>
    <w:p w:rsidR="00575F28" w:rsidRPr="00A571B1" w:rsidP="00D20217" w14:paraId="78BD1BDB" w14:textId="2C913697">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pt-BR"/>
        </w:rPr>
        <w:t>Contratação</w:t>
      </w:r>
      <w:r w:rsidRPr="008C3228">
        <w:rPr>
          <w:rFonts w:asciiTheme="majorHAnsi" w:hAnsiTheme="majorHAnsi" w:cstheme="majorHAnsi"/>
          <w:b/>
          <w:bCs/>
          <w:sz w:val="22"/>
          <w:szCs w:val="22"/>
          <w:u w:val="single"/>
          <w:rtl w:val="0"/>
          <w:lang w:val="pt-BR"/>
        </w:rPr>
        <w:t xml:space="preserve"> </w:t>
      </w:r>
      <w:r w:rsidRPr="00EA4CA7">
        <w:rPr>
          <w:rFonts w:asciiTheme="majorHAnsi" w:hAnsiTheme="majorHAnsi" w:cstheme="majorHAnsi"/>
          <w:sz w:val="22"/>
          <w:szCs w:val="22"/>
          <w:rtl w:val="0"/>
          <w:lang w:val="pt-BR"/>
        </w:rPr>
        <w:t>baseada em resultados: Compromissos em que consultores ou empresas são contratados para entregar uma produção ou resultado específico, com remuneração baseada em entregas e não no tempo trabalhado. Esses compromissos são baseados em projetos e se concentram em consultoria estratégica ou serviços especializados.</w:t>
      </w:r>
    </w:p>
    <w:p w:rsidR="00EA4CA7" w:rsidP="00D20217" w14:paraId="74E57231" w14:textId="41701192">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pt-BR"/>
        </w:rPr>
        <w:t>Lista de</w:t>
      </w:r>
      <w:r w:rsidRPr="00C6774A">
        <w:rPr>
          <w:rFonts w:asciiTheme="majorHAnsi" w:hAnsiTheme="majorHAnsi" w:cstheme="majorHAnsi"/>
          <w:b/>
          <w:bCs/>
          <w:sz w:val="22"/>
          <w:szCs w:val="22"/>
          <w:u w:val="single"/>
          <w:rtl w:val="0"/>
          <w:lang w:val="pt-BR"/>
        </w:rPr>
        <w:t xml:space="preserve"> fornecedores </w:t>
      </w:r>
      <w:r w:rsidRPr="00EA4CA7">
        <w:rPr>
          <w:rFonts w:asciiTheme="majorHAnsi" w:hAnsiTheme="majorHAnsi" w:cstheme="majorHAnsi"/>
          <w:sz w:val="22"/>
          <w:szCs w:val="22"/>
          <w:rtl w:val="0"/>
          <w:lang w:val="pt-BR"/>
        </w:rPr>
        <w:t>preferenciais: uma lista pré-aprovada de fornecedores com contratos globais ou regionais existentes que oferecem preços competitivos e estruturas de descontos. Esses fornecedores são os provedores exclusivos de serviços de força de trabalho temporária, exceto nas circunstâncias descritas nesta política.</w:t>
      </w:r>
    </w:p>
    <w:p w:rsidR="0087459C" w:rsidRPr="00EA4CA7" w:rsidP="00D20217" w14:paraId="449F05BE" w14:textId="50A46D5A">
      <w:pPr>
        <w:pStyle w:val="ListParagraph"/>
        <w:numPr>
          <w:ilvl w:val="0"/>
          <w:numId w:val="6"/>
        </w:numPr>
        <w:bidi w:val="0"/>
        <w:jc w:val="both"/>
        <w:rPr>
          <w:rFonts w:asciiTheme="majorHAnsi" w:hAnsiTheme="majorHAnsi" w:cstheme="majorHAnsi"/>
          <w:sz w:val="22"/>
          <w:szCs w:val="22"/>
        </w:rPr>
      </w:pPr>
      <w:r w:rsidRPr="0087459C">
        <w:rPr>
          <w:rFonts w:asciiTheme="majorHAnsi" w:hAnsiTheme="majorHAnsi" w:cstheme="majorHAnsi"/>
          <w:b/>
          <w:bCs/>
          <w:sz w:val="22"/>
          <w:szCs w:val="22"/>
          <w:u w:val="single"/>
          <w:rtl w:val="0"/>
          <w:lang w:val="pt-BR"/>
        </w:rPr>
        <w:t>RFx</w:t>
      </w:r>
      <w:r w:rsidRPr="0087459C">
        <w:rPr>
          <w:rFonts w:asciiTheme="majorHAnsi" w:hAnsiTheme="majorHAnsi" w:cstheme="majorHAnsi"/>
          <w:sz w:val="22"/>
          <w:szCs w:val="22"/>
          <w:rtl w:val="0"/>
          <w:lang w:val="pt-BR"/>
        </w:rPr>
        <w:t xml:space="preserve"> é um termo geral usado para se referir a vários processos de sourcing estratégico de "Solicitação de" que as organizações usam para solicitar informações, propostas ou cotações de fornecedores ou vendedores. </w:t>
      </w:r>
    </w:p>
    <w:p w:rsidR="00EA4CA7" w:rsidRPr="00EA4CA7" w:rsidP="00D20217" w14:paraId="215AB019" w14:textId="24805EF3">
      <w:pPr>
        <w:pStyle w:val="ListParagraph"/>
        <w:numPr>
          <w:ilvl w:val="0"/>
          <w:numId w:val="6"/>
        </w:numPr>
        <w:bidi w:val="0"/>
        <w:jc w:val="both"/>
        <w:rPr>
          <w:rFonts w:asciiTheme="majorHAnsi" w:hAnsiTheme="majorHAnsi" w:cstheme="majorHAnsi"/>
          <w:sz w:val="22"/>
          <w:szCs w:val="22"/>
        </w:rPr>
      </w:pPr>
      <w:r w:rsidRPr="00C6774A">
        <w:rPr>
          <w:rFonts w:asciiTheme="majorHAnsi" w:hAnsiTheme="majorHAnsi" w:cstheme="majorHAnsi"/>
          <w:b/>
          <w:bCs/>
          <w:sz w:val="22"/>
          <w:szCs w:val="22"/>
          <w:u w:val="single"/>
          <w:rtl w:val="0"/>
          <w:lang w:val="pt-BR"/>
        </w:rPr>
        <w:t>Declaração de Trabalho (SOW):</w:t>
      </w:r>
      <w:r w:rsidRPr="00EA4CA7">
        <w:rPr>
          <w:rFonts w:asciiTheme="majorHAnsi" w:hAnsiTheme="majorHAnsi" w:cstheme="majorHAnsi"/>
          <w:sz w:val="22"/>
          <w:szCs w:val="22"/>
          <w:rtl w:val="0"/>
          <w:lang w:val="pt-BR"/>
        </w:rPr>
        <w:t xml:space="preserve"> Um subcontrato para o MSA que detalha os serviços, entregas, cronogramas e preços específicos para um determinado projeto ou compromisso.</w:t>
      </w:r>
    </w:p>
    <w:p w:rsidR="00EA4CA7" w:rsidP="00D20217" w14:paraId="2F2270F2" w14:textId="4799027F">
      <w:pPr>
        <w:pStyle w:val="ListParagraph"/>
        <w:numPr>
          <w:ilvl w:val="0"/>
          <w:numId w:val="6"/>
        </w:numPr>
        <w:bidi w:val="0"/>
        <w:jc w:val="both"/>
        <w:rPr>
          <w:rFonts w:asciiTheme="majorHAnsi" w:hAnsiTheme="majorHAnsi" w:cstheme="majorHAnsi"/>
          <w:sz w:val="22"/>
          <w:szCs w:val="22"/>
        </w:rPr>
      </w:pPr>
      <w:r w:rsidRPr="00C6774A">
        <w:rPr>
          <w:rFonts w:asciiTheme="majorHAnsi" w:hAnsiTheme="majorHAnsi" w:cstheme="majorHAnsi"/>
          <w:b/>
          <w:bCs/>
          <w:sz w:val="22"/>
          <w:szCs w:val="22"/>
          <w:u w:val="single"/>
          <w:rtl w:val="0"/>
          <w:lang w:val="pt-BR"/>
        </w:rPr>
        <w:t>Fornecedor/Vendedor</w:t>
      </w:r>
      <w:r w:rsidRPr="00EA4CA7">
        <w:rPr>
          <w:rFonts w:asciiTheme="majorHAnsi" w:hAnsiTheme="majorHAnsi" w:cstheme="majorHAnsi"/>
          <w:sz w:val="22"/>
          <w:szCs w:val="22"/>
          <w:rtl w:val="0"/>
          <w:lang w:val="pt-BR"/>
        </w:rPr>
        <w:t>: Uma entidade terceirizada contratada para fornecer bens ou serviços à Brink's, como empresas de recrutamento ou prestadores de serviços para força de trabalho temporária ou serviços baseados em projetos.</w:t>
      </w:r>
    </w:p>
    <w:p w:rsidR="004E78F9" w:rsidRPr="004E78F9" w:rsidP="3F806670" w14:paraId="59172601" w14:textId="4C67D6EF">
      <w:pPr>
        <w:pStyle w:val="ListParagraph"/>
        <w:numPr>
          <w:ilvl w:val="0"/>
          <w:numId w:val="6"/>
        </w:numPr>
        <w:bidi w:val="0"/>
        <w:jc w:val="both"/>
        <w:rPr>
          <w:rFonts w:asciiTheme="majorHAnsi" w:hAnsiTheme="majorHAnsi" w:cstheme="majorBidi"/>
          <w:sz w:val="22"/>
          <w:szCs w:val="22"/>
        </w:rPr>
      </w:pPr>
      <w:r w:rsidRPr="3F806670">
        <w:rPr>
          <w:rFonts w:asciiTheme="majorHAnsi" w:hAnsiTheme="majorHAnsi" w:cstheme="majorBidi"/>
          <w:sz w:val="22"/>
          <w:szCs w:val="22"/>
          <w:rtl w:val="0"/>
          <w:lang w:val="pt-BR"/>
        </w:rPr>
        <w:t>O aluguel</w:t>
      </w:r>
      <w:r w:rsidRPr="3F806670">
        <w:rPr>
          <w:rFonts w:asciiTheme="majorHAnsi" w:hAnsiTheme="majorHAnsi" w:cstheme="majorBidi"/>
          <w:b/>
          <w:bCs/>
          <w:sz w:val="22"/>
          <w:szCs w:val="22"/>
          <w:u w:val="single"/>
          <w:rtl w:val="0"/>
          <w:lang w:val="pt-BR"/>
        </w:rPr>
        <w:t xml:space="preserve"> de </w:t>
      </w:r>
      <w:r w:rsidRPr="3F806670">
        <w:rPr>
          <w:rFonts w:asciiTheme="majorHAnsi" w:hAnsiTheme="majorHAnsi" w:cstheme="majorBidi"/>
          <w:sz w:val="22"/>
          <w:szCs w:val="22"/>
          <w:rtl w:val="0"/>
          <w:lang w:val="pt-BR"/>
        </w:rPr>
        <w:t>tempo e material refere-se a um tipo de emprego ou acordo contratual em que o trabalhador é pago com base na quantidade de tempo que passa trabalhando (por exemplo, taxas horárias ou diárias) e nos materiais ou recursos usados para concluir o trabalho. Esse modelo é comumente usado para trabalhadores temporários, freelancers e contratados para tarefas ou projetos de curto prazo.</w:t>
      </w:r>
    </w:p>
    <w:p w:rsidR="009B1A09" w:rsidRPr="008E0A00" w:rsidP="00AD5774" w14:paraId="6B2BC5A7" w14:textId="6D12EE33">
      <w:pPr>
        <w:pStyle w:val="Heading1"/>
        <w:bidi w:val="0"/>
        <w:jc w:val="both"/>
        <w:rPr>
          <w:rFonts w:cstheme="majorHAnsi"/>
          <w:color w:val="auto"/>
        </w:rPr>
      </w:pPr>
      <w:bookmarkStart w:id="2" w:name="_Toc256000002"/>
      <w:r w:rsidRPr="008E0A00">
        <w:rPr>
          <w:rFonts w:cstheme="majorHAnsi"/>
          <w:color w:val="auto"/>
          <w:rtl w:val="0"/>
          <w:lang w:val="pt-BR"/>
        </w:rPr>
        <w:t>ÂMBITO</w:t>
      </w:r>
      <w:bookmarkEnd w:id="2"/>
      <w:r w:rsidRPr="008E0A00">
        <w:rPr>
          <w:rFonts w:cstheme="majorHAnsi"/>
          <w:color w:val="auto"/>
          <w:rtl w:val="0"/>
          <w:lang w:val="pt-BR"/>
        </w:rPr>
        <w:t xml:space="preserve"> </w:t>
      </w:r>
    </w:p>
    <w:p w:rsidR="001606B6" w:rsidRPr="0074239A" w:rsidP="00C77AB5" w14:paraId="1A8AFD95" w14:textId="0EF8622B">
      <w:pPr>
        <w:pStyle w:val="Heading2"/>
        <w:bidi w:val="0"/>
        <w:ind w:left="360"/>
        <w:rPr>
          <w:rFonts w:cstheme="majorHAnsi"/>
          <w:color w:val="auto"/>
          <w:sz w:val="22"/>
          <w:szCs w:val="22"/>
        </w:rPr>
      </w:pPr>
      <w:bookmarkStart w:id="3" w:name="_Toc256000003"/>
      <w:r w:rsidRPr="0074239A">
        <w:rPr>
          <w:rFonts w:cstheme="majorHAnsi"/>
          <w:color w:val="auto"/>
          <w:sz w:val="22"/>
          <w:szCs w:val="22"/>
          <w:rtl w:val="0"/>
          <w:lang w:val="pt-BR"/>
        </w:rPr>
        <w:t>Âmbito geográfico</w:t>
      </w:r>
      <w:bookmarkEnd w:id="3"/>
    </w:p>
    <w:p w:rsidR="001606B6" w:rsidRPr="0074239A" w:rsidP="001606B6" w14:paraId="7897D0A5" w14:textId="77777777">
      <w:pPr>
        <w:ind w:left="360"/>
        <w:rPr>
          <w:rFonts w:asciiTheme="majorHAnsi" w:hAnsiTheme="majorHAnsi" w:cstheme="majorHAnsi"/>
          <w:sz w:val="22"/>
          <w:szCs w:val="22"/>
        </w:rPr>
      </w:pPr>
    </w:p>
    <w:p w:rsidR="00F94E8C" w:rsidP="00355B9F" w14:paraId="797B7075" w14:textId="6C5C4C8B">
      <w:pPr>
        <w:bidi w:val="0"/>
        <w:rPr>
          <w:rFonts w:asciiTheme="majorHAnsi" w:hAnsiTheme="majorHAnsi" w:cstheme="majorHAnsi"/>
          <w:sz w:val="22"/>
          <w:szCs w:val="22"/>
        </w:rPr>
      </w:pPr>
      <w:r w:rsidRPr="0074239A">
        <w:rPr>
          <w:rFonts w:asciiTheme="majorHAnsi" w:hAnsiTheme="majorHAnsi" w:cstheme="majorHAnsi"/>
          <w:sz w:val="22"/>
          <w:szCs w:val="22"/>
          <w:rtl w:val="0"/>
          <w:lang w:val="pt-BR"/>
        </w:rPr>
        <w:t>Esta Política e diretriz se aplicam a todas as entidades da Brink's globalmente e suas atividades de aquisição associadas relacionadas à força de trabalho temporária.</w:t>
      </w:r>
    </w:p>
    <w:p w:rsidR="00484EE0" w:rsidP="00355B9F" w14:paraId="0F56BABF" w14:textId="77777777">
      <w:pPr>
        <w:rPr>
          <w:rFonts w:asciiTheme="majorHAnsi" w:hAnsiTheme="majorHAnsi" w:cstheme="majorHAnsi"/>
          <w:sz w:val="22"/>
          <w:szCs w:val="22"/>
        </w:rPr>
      </w:pPr>
    </w:p>
    <w:p w:rsidR="00484EE0" w:rsidRPr="0051357C" w:rsidP="00484EE0" w14:paraId="3174E492" w14:textId="3347723C">
      <w:pPr>
        <w:pStyle w:val="Heading2"/>
        <w:bidi w:val="0"/>
        <w:ind w:left="360"/>
        <w:rPr>
          <w:rFonts w:cstheme="majorHAnsi"/>
          <w:color w:val="auto"/>
          <w:sz w:val="22"/>
          <w:szCs w:val="22"/>
        </w:rPr>
      </w:pPr>
      <w:bookmarkStart w:id="4" w:name="_Toc256000004"/>
      <w:r>
        <w:rPr>
          <w:rFonts w:cstheme="majorHAnsi"/>
          <w:color w:val="auto"/>
          <w:sz w:val="22"/>
          <w:szCs w:val="22"/>
          <w:rtl w:val="0"/>
          <w:lang w:val="pt-BR"/>
        </w:rPr>
        <w:t>Funções no escopo da política</w:t>
      </w:r>
      <w:bookmarkEnd w:id="4"/>
    </w:p>
    <w:p w:rsidR="000B581D" w:rsidRPr="00F413DF" w:rsidP="00F413DF" w14:paraId="17882FD4" w14:textId="14269B76">
      <w:pPr>
        <w:pStyle w:val="Heading3"/>
        <w:numPr>
          <w:ilvl w:val="0"/>
          <w:numId w:val="0"/>
        </w:numPr>
        <w:bidi w:val="0"/>
        <w:rPr>
          <w:i/>
          <w:iCs/>
          <w:color w:val="auto"/>
          <w:sz w:val="22"/>
          <w:szCs w:val="22"/>
        </w:rPr>
      </w:pPr>
      <w:bookmarkStart w:id="5" w:name="_Toc64992937"/>
      <w:bookmarkStart w:id="6" w:name="_Toc256000005"/>
      <w:r w:rsidRPr="00F413DF">
        <w:rPr>
          <w:rStyle w:val="BodyTextChar"/>
          <w:rFonts w:asciiTheme="majorHAnsi" w:eastAsiaTheme="majorEastAsia" w:hAnsiTheme="majorHAnsi" w:cstheme="majorBidi"/>
          <w:i/>
          <w:iCs/>
          <w:color w:val="auto"/>
          <w:szCs w:val="22"/>
          <w:rtl w:val="0"/>
          <w:lang w:val="pt-BR"/>
        </w:rPr>
        <w:t>Força de trabalho temporária</w:t>
      </w:r>
      <w:bookmarkEnd w:id="6"/>
      <w:bookmarkEnd w:id="5"/>
    </w:p>
    <w:p w:rsidR="0004799F" w:rsidRPr="0051357C" w:rsidP="000B581D" w14:paraId="7EBFA68A" w14:textId="77777777">
      <w:pPr>
        <w:pStyle w:val="NoSpacing"/>
        <w:jc w:val="both"/>
        <w:rPr>
          <w:rFonts w:asciiTheme="majorHAnsi" w:hAnsiTheme="majorHAnsi" w:cstheme="majorHAnsi"/>
          <w:bCs/>
          <w:u w:val="single"/>
          <w:lang w:eastAsia="nl-NL" w:bidi="nl-NL"/>
        </w:rPr>
      </w:pPr>
    </w:p>
    <w:p w:rsidR="003E3331" w:rsidP="6B3824FD" w14:paraId="7F66A13A" w14:textId="5EA6F7DE">
      <w:pPr>
        <w:pStyle w:val="NoSpacing"/>
        <w:bidi w:val="0"/>
        <w:rPr>
          <w:rFonts w:asciiTheme="majorHAnsi" w:hAnsiTheme="majorHAnsi" w:cstheme="majorBidi"/>
          <w:lang w:eastAsia="nl-NL" w:bidi="nl-NL"/>
        </w:rPr>
      </w:pPr>
      <w:r w:rsidR="005B6160">
        <w:rPr>
          <w:rtl w:val="0"/>
          <w:lang w:val="pt-BR"/>
        </w:rPr>
        <w:t>Trabalhador</w:t>
      </w:r>
      <w:r w:rsidRPr="6B3824FD">
        <w:rPr>
          <w:rFonts w:asciiTheme="majorHAnsi" w:hAnsiTheme="majorHAnsi" w:cstheme="majorBidi"/>
          <w:u w:val="single"/>
          <w:rtl w:val="0"/>
          <w:lang w:val="pt-BR" w:eastAsia="nl-NL" w:bidi="nl-NL"/>
        </w:rPr>
        <w:br/>
        <w:t xml:space="preserve"> </w:t>
      </w:r>
      <w:r w:rsidR="005B6160">
        <w:rPr>
          <w:rtl w:val="0"/>
          <w:lang w:val="pt-BR"/>
        </w:rPr>
        <w:t xml:space="preserve">temporárioUm funcionário de uma empresa de recrutamento que é recrutado, selecionado e, às vezes, treinado pela empresa de recrutamento para realizar trabalhos para uma organização com a expectativa de que o trabalho seja por um período fixo. Inclui trabalhadores com as habilidades, conhecimentos e treinamento necessários para ocupações em indústria leve, escritório/escritório, trabalho em geral, contabilidade e finanças, jurídico, marketing e criativo, engenharia, tecnologia, pesquisa e desenvolvimento, recursos humanos e quaisquer outros serviços semelhantes. </w:t>
      </w:r>
    </w:p>
    <w:p w:rsidR="000B581D" w:rsidP="6B3824FD" w14:paraId="035D9BC6" w14:textId="44E075AF">
      <w:pPr>
        <w:pStyle w:val="NoSpacing"/>
        <w:bidi w:val="0"/>
        <w:jc w:val="both"/>
        <w:rPr>
          <w:rFonts w:asciiTheme="majorHAnsi" w:hAnsiTheme="majorHAnsi" w:cstheme="majorBidi"/>
          <w:lang w:eastAsia="nl-NL" w:bidi="nl-NL"/>
        </w:rPr>
      </w:pPr>
      <w:r>
        <w:rPr>
          <w:rtl w:val="0"/>
          <w:lang w:val="pt-BR"/>
        </w:rPr>
        <w:br/>
      </w:r>
      <w:r w:rsidRPr="6B3824FD" w:rsidR="6B3824FD">
        <w:rPr>
          <w:rFonts w:asciiTheme="majorHAnsi" w:hAnsiTheme="majorHAnsi" w:cstheme="majorBidi"/>
          <w:u w:val="single"/>
          <w:rtl w:val="0"/>
          <w:lang w:val="pt-BR" w:eastAsia="nl-NL" w:bidi="nl-NL"/>
        </w:rPr>
        <w:t>EmpreiteiroUm</w:t>
      </w:r>
      <w:r>
        <w:rPr>
          <w:rtl w:val="0"/>
          <w:lang w:val="pt-BR"/>
        </w:rPr>
        <w:br/>
        <w:t xml:space="preserve"> indivíduo contratado para prestar um serviço especificado, conforme estabelecido em um contrato e/ou declaração de trabalho. Inclui autônomos, freelancers e indivíduos que realizam trabalhos de curto prazo que não são afiliados a uma determinada organização empregadora, embora possam ser afiliados a uma ou mais empresas de recrutamento. Mais definido na tabela abaixo.</w:t>
      </w:r>
    </w:p>
    <w:p w:rsidR="00066940" w:rsidRPr="0051357C" w:rsidP="00DF7BCC" w14:paraId="4DE9DCE7" w14:textId="77777777">
      <w:pPr>
        <w:pStyle w:val="NoSpacing"/>
        <w:jc w:val="both"/>
        <w:rPr>
          <w:rFonts w:asciiTheme="majorHAnsi" w:hAnsiTheme="majorHAnsi" w:cstheme="majorHAnsi"/>
          <w:lang w:eastAsia="nl-NL" w:bidi="nl-NL"/>
        </w:rPr>
      </w:pPr>
    </w:p>
    <w:p w:rsidR="004E3658" w:rsidRPr="0051357C" w:rsidP="0051357C" w14:paraId="2A3A77CF" w14:textId="0EE27509">
      <w:pPr>
        <w:pStyle w:val="Heading2"/>
        <w:bidi w:val="0"/>
        <w:ind w:left="360"/>
        <w:jc w:val="both"/>
        <w:rPr>
          <w:rFonts w:cstheme="majorHAnsi"/>
          <w:sz w:val="22"/>
          <w:szCs w:val="22"/>
          <w:lang w:eastAsia="nl-NL" w:bidi="nl-NL"/>
        </w:rPr>
      </w:pPr>
      <w:r>
        <w:rPr>
          <w:rFonts w:cstheme="majorHAnsi"/>
          <w:color w:val="auto"/>
          <w:sz w:val="22"/>
          <w:szCs w:val="22"/>
          <w:rtl w:val="0"/>
          <w:lang w:val="pt-BR"/>
        </w:rPr>
        <w:t xml:space="preserve"> </w:t>
      </w:r>
      <w:bookmarkStart w:id="7" w:name="_Toc256000006"/>
      <w:r>
        <w:rPr>
          <w:rFonts w:cstheme="majorHAnsi"/>
          <w:color w:val="auto"/>
          <w:sz w:val="22"/>
          <w:szCs w:val="22"/>
          <w:rtl w:val="0"/>
          <w:lang w:val="pt-BR"/>
        </w:rPr>
        <w:t>Funções fora do escopo da política</w:t>
      </w:r>
      <w:bookmarkEnd w:id="7"/>
    </w:p>
    <w:p w:rsidR="004E3658" w:rsidRPr="0051357C" w:rsidP="0051357C" w14:paraId="2335D1FC" w14:textId="28D3305C">
      <w:pPr>
        <w:pStyle w:val="Heading3"/>
        <w:numPr>
          <w:ilvl w:val="0"/>
          <w:numId w:val="0"/>
        </w:numPr>
        <w:bidi w:val="0"/>
        <w:jc w:val="both"/>
        <w:rPr>
          <w:rFonts w:cstheme="majorHAnsi"/>
          <w:i/>
          <w:iCs/>
          <w:color w:val="auto"/>
          <w:sz w:val="22"/>
          <w:szCs w:val="22"/>
        </w:rPr>
      </w:pPr>
      <w:bookmarkStart w:id="8" w:name="_Toc64992939"/>
      <w:bookmarkStart w:id="9" w:name="_Toc256000007"/>
      <w:r w:rsidRPr="0051357C">
        <w:rPr>
          <w:rFonts w:cstheme="majorHAnsi"/>
          <w:i/>
          <w:iCs/>
          <w:color w:val="auto"/>
          <w:sz w:val="22"/>
          <w:szCs w:val="22"/>
          <w:rtl w:val="0"/>
          <w:lang w:val="pt-BR"/>
        </w:rPr>
        <w:t>Funcionários da Brink's</w:t>
      </w:r>
      <w:bookmarkEnd w:id="9"/>
      <w:bookmarkEnd w:id="8"/>
    </w:p>
    <w:p w:rsidR="004E3658" w:rsidRPr="0051357C" w:rsidP="0051357C" w14:paraId="0BF76315" w14:textId="467FE480">
      <w:pPr>
        <w:pStyle w:val="NoSpacing"/>
        <w:bidi w:val="0"/>
        <w:jc w:val="both"/>
      </w:pPr>
      <w:r w:rsidRPr="0051357C">
        <w:rPr>
          <w:rFonts w:asciiTheme="majorHAnsi" w:hAnsiTheme="majorHAnsi" w:cstheme="majorHAnsi"/>
          <w:rtl w:val="0"/>
          <w:lang w:val="pt-BR"/>
        </w:rPr>
        <w:t>Funcionários permanentes ou temporários pagos diretamente pela Brink's (na folha de pagamento da Brink's). Eles não têm uma data de término predeterminada para o emprego, exceto para alguns funcionários de curto prazo que são pagos por meio da folha de pagamento da Brink's. Além de seus salários, eles geralmente recebem benefícios como assistência médica subsidiada, férias remuneradas, feriados, licença médica ou contribuições para um plano de aposentadoria. Observe que a força de trabalho</w:t>
      </w:r>
      <w:r w:rsidRPr="006B7893">
        <w:rPr>
          <w:rFonts w:asciiTheme="majorHAnsi" w:hAnsiTheme="majorHAnsi" w:cstheme="majorHAnsi"/>
          <w:i/>
          <w:rtl w:val="0"/>
          <w:lang w:val="pt-BR"/>
        </w:rPr>
        <w:t xml:space="preserve"> </w:t>
      </w:r>
      <w:r w:rsidRPr="0051357C">
        <w:rPr>
          <w:rFonts w:asciiTheme="majorHAnsi" w:hAnsiTheme="majorHAnsi" w:cstheme="majorHAnsi"/>
          <w:rtl w:val="0"/>
          <w:lang w:val="pt-BR"/>
        </w:rPr>
        <w:t xml:space="preserve">permanente e temporária inclui um funcionário </w:t>
      </w:r>
      <w:r w:rsidRPr="006B7893">
        <w:rPr>
          <w:rFonts w:asciiTheme="majorHAnsi" w:hAnsiTheme="majorHAnsi" w:cstheme="majorHAnsi"/>
          <w:i/>
          <w:rtl w:val="0"/>
          <w:lang w:val="pt-BR"/>
        </w:rPr>
        <w:t>em tempo integral (FTE)</w:t>
      </w:r>
      <w:r w:rsidRPr="0051357C">
        <w:rPr>
          <w:rFonts w:asciiTheme="majorHAnsi" w:hAnsiTheme="majorHAnsi" w:cstheme="majorHAnsi"/>
          <w:rtl w:val="0"/>
          <w:lang w:val="pt-BR"/>
        </w:rPr>
        <w:t xml:space="preserve"> e funcionários que trabalham </w:t>
      </w:r>
      <w:r w:rsidRPr="006B7893">
        <w:rPr>
          <w:rFonts w:asciiTheme="majorHAnsi" w:hAnsiTheme="majorHAnsi" w:cstheme="majorHAnsi"/>
          <w:i/>
          <w:rtl w:val="0"/>
          <w:lang w:val="pt-BR"/>
        </w:rPr>
        <w:t>meio período.</w:t>
      </w:r>
    </w:p>
    <w:p w:rsidR="004E3658" w:rsidRPr="0051357C" w:rsidP="0051357C" w14:paraId="2CA0C132" w14:textId="6CF34C8D">
      <w:pPr>
        <w:pStyle w:val="Heading3"/>
        <w:numPr>
          <w:ilvl w:val="0"/>
          <w:numId w:val="0"/>
        </w:numPr>
        <w:bidi w:val="0"/>
        <w:jc w:val="both"/>
        <w:rPr>
          <w:rFonts w:cstheme="majorHAnsi"/>
          <w:i/>
          <w:iCs/>
          <w:color w:val="auto"/>
          <w:sz w:val="22"/>
          <w:szCs w:val="22"/>
        </w:rPr>
      </w:pPr>
      <w:bookmarkStart w:id="10" w:name="_Toc64992941"/>
      <w:bookmarkStart w:id="11" w:name="_Toc256000008"/>
      <w:r w:rsidRPr="0051357C">
        <w:rPr>
          <w:rFonts w:cstheme="majorHAnsi"/>
          <w:i/>
          <w:iCs/>
          <w:color w:val="auto"/>
          <w:sz w:val="22"/>
          <w:szCs w:val="22"/>
          <w:rtl w:val="0"/>
          <w:lang w:val="pt-BR"/>
        </w:rPr>
        <w:t>Estágios</w:t>
      </w:r>
      <w:bookmarkEnd w:id="11"/>
      <w:bookmarkEnd w:id="10"/>
    </w:p>
    <w:p w:rsidR="004E3658" w:rsidP="004E3658" w14:paraId="2E206738" w14:textId="336DEF12">
      <w:pPr>
        <w:bidi w:val="0"/>
        <w:jc w:val="both"/>
        <w:rPr>
          <w:rFonts w:asciiTheme="majorHAnsi" w:hAnsiTheme="majorHAnsi" w:cstheme="majorHAnsi"/>
          <w:sz w:val="22"/>
          <w:szCs w:val="22"/>
        </w:rPr>
      </w:pPr>
      <w:r w:rsidRPr="0051357C">
        <w:rPr>
          <w:rFonts w:asciiTheme="majorHAnsi" w:hAnsiTheme="majorHAnsi" w:cstheme="majorHAnsi"/>
          <w:sz w:val="22"/>
          <w:szCs w:val="22"/>
          <w:rtl w:val="0"/>
          <w:lang w:val="pt-BR"/>
        </w:rPr>
        <w:t>Um estagiário pode ser um funcionário temporário que é estudante ou terminou recentemente seus estudos e está recebendo treinamento obtendo experiência prática de um tipo de trabalho. A duração de um estágio não deve durar mais de 12 meses, sujeita à lei aplicável.</w:t>
      </w:r>
    </w:p>
    <w:p w:rsidR="00DF7BCC" w:rsidRPr="0051357C" w:rsidP="0051357C" w14:paraId="614F6C62" w14:textId="77777777">
      <w:pPr>
        <w:pStyle w:val="Heading3"/>
        <w:numPr>
          <w:ilvl w:val="0"/>
          <w:numId w:val="0"/>
        </w:numPr>
        <w:bidi w:val="0"/>
        <w:jc w:val="both"/>
        <w:rPr>
          <w:rFonts w:cstheme="majorHAnsi"/>
          <w:i/>
          <w:iCs/>
          <w:color w:val="auto"/>
          <w:sz w:val="22"/>
          <w:szCs w:val="22"/>
        </w:rPr>
      </w:pPr>
      <w:bookmarkStart w:id="12" w:name="_Toc256000009"/>
      <w:r w:rsidRPr="0051357C">
        <w:rPr>
          <w:rFonts w:cstheme="majorHAnsi"/>
          <w:i/>
          <w:iCs/>
          <w:color w:val="auto"/>
          <w:sz w:val="22"/>
          <w:szCs w:val="22"/>
          <w:rtl w:val="0"/>
          <w:lang w:val="pt-BR"/>
        </w:rPr>
        <w:t>Trabalhadores da linha de frente</w:t>
      </w:r>
      <w:bookmarkEnd w:id="12"/>
      <w:r w:rsidRPr="0051357C">
        <w:rPr>
          <w:rFonts w:cstheme="majorHAnsi"/>
          <w:i/>
          <w:iCs/>
          <w:color w:val="auto"/>
          <w:sz w:val="22"/>
          <w:szCs w:val="22"/>
          <w:rtl w:val="0"/>
          <w:lang w:val="pt-BR"/>
        </w:rPr>
        <w:t xml:space="preserve"> </w:t>
      </w:r>
    </w:p>
    <w:p w:rsidR="00DF7BCC" w:rsidP="00DF7BCC" w14:paraId="3EFDD002" w14:textId="1F9F4867">
      <w:pPr>
        <w:pStyle w:val="NoSpacing"/>
        <w:bidi w:val="0"/>
        <w:jc w:val="both"/>
        <w:rPr>
          <w:lang w:eastAsia="nl-NL" w:bidi="nl-NL"/>
        </w:rPr>
      </w:pPr>
      <w:r w:rsidRPr="6B3824FD">
        <w:rPr>
          <w:rtl w:val="0"/>
          <w:lang w:val="pt-BR" w:eastAsia="nl-NL" w:bidi="nl-NL"/>
        </w:rPr>
        <w:t>Um trabalhador da linha de frente é considerado um funcionário diretamente envolvido em nossas operações (por exemplo, força de trabalho temporária contratada em nossos centros de processamento de dinheiro). Trabalhadores temporários, de curto prazo, temporários ou sazonais da linha de frente que trabalham em linhas de produção, fornecendo suporte geral de mão de obra ou outros serviços semelhantes também não estão incluídos no escopo desta política.</w:t>
      </w:r>
    </w:p>
    <w:p w:rsidR="004E3658" w:rsidRPr="0051357C" w:rsidP="0051357C" w14:paraId="11D50BC8" w14:textId="77777777">
      <w:pPr>
        <w:pStyle w:val="Heading3"/>
        <w:numPr>
          <w:ilvl w:val="0"/>
          <w:numId w:val="0"/>
        </w:numPr>
        <w:bidi w:val="0"/>
        <w:jc w:val="both"/>
        <w:rPr>
          <w:rFonts w:eastAsia="Calibri" w:cstheme="majorHAnsi"/>
          <w:i/>
          <w:iCs/>
          <w:color w:val="auto"/>
          <w:sz w:val="22"/>
          <w:szCs w:val="22"/>
          <w:lang w:eastAsia="nl-NL" w:bidi="nl-NL"/>
        </w:rPr>
      </w:pPr>
      <w:bookmarkStart w:id="13" w:name="_Toc64992942"/>
      <w:bookmarkStart w:id="14" w:name="_Toc256000010"/>
      <w:r w:rsidRPr="0051357C">
        <w:rPr>
          <w:rStyle w:val="Heading3Char"/>
          <w:rFonts w:cstheme="majorHAnsi"/>
          <w:b/>
          <w:bCs/>
          <w:i/>
          <w:iCs/>
          <w:color w:val="auto"/>
          <w:sz w:val="22"/>
          <w:szCs w:val="22"/>
          <w:rtl w:val="0"/>
          <w:lang w:val="pt-BR"/>
        </w:rPr>
        <w:t>Empresas de terceirização de processos de negócios (BPO)</w:t>
      </w:r>
      <w:bookmarkEnd w:id="14"/>
      <w:bookmarkEnd w:id="13"/>
      <w:r w:rsidRPr="0051357C">
        <w:rPr>
          <w:rStyle w:val="Heading3Char"/>
          <w:rFonts w:cstheme="majorHAnsi"/>
          <w:b/>
          <w:bCs/>
          <w:i/>
          <w:iCs/>
          <w:color w:val="auto"/>
          <w:sz w:val="22"/>
          <w:szCs w:val="22"/>
          <w:rtl w:val="0"/>
          <w:lang w:val="pt-BR"/>
        </w:rPr>
        <w:t xml:space="preserve"> </w:t>
      </w:r>
    </w:p>
    <w:p w:rsidR="004E3658" w:rsidP="004E3658" w14:paraId="3531A750" w14:textId="50305AB0">
      <w:pPr>
        <w:bidi w:val="0"/>
        <w:jc w:val="both"/>
        <w:rPr>
          <w:rFonts w:asciiTheme="majorHAnsi" w:hAnsiTheme="majorHAnsi" w:cstheme="majorHAnsi"/>
          <w:sz w:val="22"/>
          <w:szCs w:val="22"/>
          <w:lang w:eastAsia="nl-NL" w:bidi="nl-NL"/>
        </w:rPr>
      </w:pPr>
      <w:r w:rsidRPr="0051357C">
        <w:rPr>
          <w:rFonts w:asciiTheme="majorHAnsi" w:hAnsiTheme="majorHAnsi" w:cstheme="majorHAnsi"/>
          <w:sz w:val="22"/>
          <w:szCs w:val="22"/>
          <w:rtl w:val="0"/>
          <w:lang w:val="pt-BR"/>
        </w:rPr>
        <w:t xml:space="preserve">A terceirização de processos de negócios (BPO) é definida como o acordo de terceirização em que as funções de negócios (como finanças, contabilidade e atendimento ao cliente) são terceirizadas sem a intenção de terceirizar a função. Os compromissos com empresas de BPO duram no mínimo três anos. Por exemplo, as atividades de suporte de TI realizadas por uma empresa como a Infosys estão sob BPO. </w:t>
      </w:r>
    </w:p>
    <w:p w:rsidR="00E83C76" w:rsidP="004E3658" w14:paraId="5B768955" w14:textId="77777777">
      <w:pPr>
        <w:jc w:val="both"/>
        <w:rPr>
          <w:rFonts w:asciiTheme="majorHAnsi" w:hAnsiTheme="majorHAnsi" w:cstheme="majorHAnsi"/>
          <w:sz w:val="22"/>
          <w:szCs w:val="22"/>
          <w:lang w:eastAsia="nl-NL" w:bidi="nl-NL"/>
        </w:rPr>
      </w:pPr>
    </w:p>
    <w:p w:rsidR="00E83C76" w:rsidRPr="00A96CF2" w:rsidP="004E3658" w14:paraId="55EE01D9" w14:textId="73218D0B">
      <w:pPr>
        <w:bidi w:val="0"/>
        <w:jc w:val="both"/>
        <w:rPr>
          <w:rFonts w:asciiTheme="majorHAnsi" w:hAnsiTheme="majorHAnsi" w:cstheme="majorHAnsi"/>
          <w:b/>
          <w:bCs/>
          <w:i/>
          <w:iCs/>
          <w:sz w:val="22"/>
          <w:szCs w:val="22"/>
          <w:lang w:eastAsia="nl-NL" w:bidi="nl-NL"/>
        </w:rPr>
      </w:pPr>
      <w:r w:rsidRPr="00A96CF2">
        <w:rPr>
          <w:rFonts w:asciiTheme="majorHAnsi" w:hAnsiTheme="majorHAnsi" w:cstheme="majorHAnsi"/>
          <w:b/>
          <w:bCs/>
          <w:i/>
          <w:iCs/>
          <w:sz w:val="22"/>
          <w:szCs w:val="22"/>
          <w:rtl w:val="0"/>
          <w:lang w:val="pt-BR" w:eastAsia="nl-NL" w:bidi="nl-NL"/>
        </w:rPr>
        <w:t>Advocacia</w:t>
      </w:r>
    </w:p>
    <w:p w:rsidR="00E83C76" w:rsidRPr="0051357C" w:rsidP="004E3658" w14:paraId="04C4292A" w14:textId="2FE92277">
      <w:pPr>
        <w:bidi w:val="0"/>
        <w:jc w:val="both"/>
        <w:rPr>
          <w:rFonts w:asciiTheme="majorHAnsi" w:hAnsiTheme="majorHAnsi" w:cstheme="majorHAnsi"/>
          <w:sz w:val="22"/>
          <w:szCs w:val="22"/>
          <w:lang w:val="en-GB"/>
        </w:rPr>
      </w:pPr>
      <w:r>
        <w:rPr>
          <w:rFonts w:asciiTheme="majorHAnsi" w:hAnsiTheme="majorHAnsi" w:cstheme="majorHAnsi"/>
          <w:sz w:val="22"/>
          <w:szCs w:val="22"/>
          <w:rtl w:val="0"/>
          <w:lang w:val="pt-BR"/>
        </w:rPr>
        <w:t>Um escritório de advocacia é uma entidade empresarial formada por um ou mais advogados para fornecer aconselhamento jurídico aos clientes, representá-los em disputas legais e lidar com questões como contratos, litígios e negociações. A seleção e contratação de escritórios de advocacia é regida pela Política de Serviços Jurídicos da Brink's.</w:t>
      </w:r>
    </w:p>
    <w:p w:rsidR="009401F0" w:rsidRPr="0051357C" w:rsidP="00265B75" w14:paraId="5243A958" w14:textId="0BE46F9F">
      <w:pPr>
        <w:pStyle w:val="Heading3"/>
        <w:numPr>
          <w:ilvl w:val="0"/>
          <w:numId w:val="0"/>
        </w:numPr>
        <w:tabs>
          <w:tab w:val="left" w:pos="9135"/>
        </w:tabs>
        <w:bidi w:val="0"/>
        <w:rPr>
          <w:rFonts w:cstheme="majorHAnsi"/>
          <w:i/>
          <w:iCs/>
          <w:color w:val="auto"/>
          <w:sz w:val="22"/>
          <w:szCs w:val="22"/>
          <w:lang w:eastAsia="nl-NL" w:bidi="nl-NL"/>
        </w:rPr>
      </w:pPr>
      <w:bookmarkStart w:id="15" w:name="_Toc256000011"/>
      <w:r w:rsidRPr="0051357C">
        <w:rPr>
          <w:rFonts w:cstheme="majorHAnsi"/>
          <w:i/>
          <w:iCs/>
          <w:color w:val="auto"/>
          <w:sz w:val="22"/>
          <w:szCs w:val="22"/>
          <w:rtl w:val="0"/>
          <w:lang w:val="pt-BR" w:eastAsia="nl-NL" w:bidi="nl-NL"/>
        </w:rPr>
        <w:t>Projetos de Consultoria</w:t>
      </w:r>
      <w:bookmarkEnd w:id="15"/>
      <w:r w:rsidRPr="0051357C">
        <w:rPr>
          <w:rFonts w:cstheme="majorHAnsi"/>
          <w:i/>
          <w:iCs/>
          <w:color w:val="auto"/>
          <w:sz w:val="22"/>
          <w:szCs w:val="22"/>
          <w:rtl w:val="0"/>
          <w:lang w:val="pt-BR" w:eastAsia="nl-NL" w:bidi="nl-NL"/>
        </w:rPr>
        <w:tab/>
      </w:r>
    </w:p>
    <w:p w:rsidR="008C25BC" w:rsidP="00D008D8" w14:paraId="41AA2E9B" w14:textId="1A301571">
      <w:pPr>
        <w:bidi w:val="0"/>
        <w:rPr>
          <w:rFonts w:asciiTheme="majorHAnsi" w:hAnsiTheme="majorHAnsi" w:cstheme="majorBidi"/>
          <w:sz w:val="22"/>
          <w:szCs w:val="22"/>
          <w:lang w:eastAsia="nl-NL" w:bidi="nl-NL"/>
        </w:rPr>
      </w:pPr>
      <w:r w:rsidRPr="00D008D8">
        <w:rPr>
          <w:rFonts w:asciiTheme="majorHAnsi" w:hAnsiTheme="majorHAnsi" w:cstheme="majorBidi"/>
          <w:sz w:val="22"/>
          <w:szCs w:val="22"/>
          <w:rtl w:val="0"/>
          <w:lang w:val="pt-BR" w:eastAsia="nl-NL" w:bidi="nl-NL"/>
        </w:rPr>
        <w:t xml:space="preserve">Os projetos de consultoria envolvem empresas ou indivíduos remunerados com base na entrega de uma produção ou resultado específico, e não no tempo gasto. Os consultores são contratados para fornecer consultoria estratégica ou serviços especializados, e seus honorários são normalmente fixos ou baseados em projetos. </w:t>
      </w:r>
    </w:p>
    <w:p w:rsidR="008C25BC" w:rsidP="00D008D8" w14:paraId="3A3AA1B6" w14:textId="77777777">
      <w:pPr>
        <w:rPr>
          <w:rFonts w:asciiTheme="majorHAnsi" w:hAnsiTheme="majorHAnsi" w:cstheme="majorBidi"/>
          <w:sz w:val="22"/>
          <w:szCs w:val="22"/>
          <w:u w:val="single"/>
          <w:lang w:eastAsia="nl-NL" w:bidi="nl-NL"/>
        </w:rPr>
      </w:pPr>
    </w:p>
    <w:p w:rsidR="00C4680F" w:rsidRPr="0051357C" w:rsidP="00D008D8" w14:paraId="58A5F696" w14:textId="77777777">
      <w:pPr>
        <w:rPr>
          <w:rFonts w:asciiTheme="majorHAnsi" w:hAnsiTheme="majorHAnsi" w:cstheme="majorBidi"/>
          <w:sz w:val="22"/>
          <w:szCs w:val="22"/>
          <w:lang w:eastAsia="nl-NL" w:bidi="nl-NL"/>
        </w:rPr>
      </w:pPr>
    </w:p>
    <w:p w:rsidR="00C4680F" w:rsidRPr="0051357C" w:rsidP="00D008D8" w14:paraId="5B1C77EF" w14:textId="353F6AA4">
      <w:pPr>
        <w:bidi w:val="0"/>
        <w:rPr>
          <w:rFonts w:asciiTheme="majorHAnsi" w:hAnsiTheme="majorHAnsi" w:cstheme="majorBidi"/>
          <w:sz w:val="22"/>
          <w:szCs w:val="22"/>
          <w:u w:val="single"/>
          <w:lang w:eastAsia="nl-NL" w:bidi="nl-NL"/>
        </w:rPr>
      </w:pPr>
      <w:r w:rsidRPr="0051357C">
        <w:rPr>
          <w:rFonts w:asciiTheme="majorHAnsi" w:hAnsiTheme="majorHAnsi" w:cstheme="majorBidi"/>
          <w:sz w:val="22"/>
          <w:szCs w:val="22"/>
          <w:u w:val="single"/>
          <w:rtl w:val="0"/>
          <w:lang w:val="pt-BR" w:eastAsia="nl-NL" w:bidi="nl-NL"/>
        </w:rPr>
        <w:t>Veja abaixo mais esclarecimentos:</w:t>
      </w:r>
    </w:p>
    <w:p w:rsidR="007D6515" w:rsidRPr="0074239A" w:rsidP="00935718" w14:paraId="36157DE0" w14:textId="77777777">
      <w:pPr>
        <w:rPr>
          <w:rFonts w:asciiTheme="majorHAnsi" w:hAnsiTheme="majorHAnsi" w:cstheme="majorHAnsi"/>
          <w:sz w:val="22"/>
          <w:szCs w:val="22"/>
        </w:rPr>
      </w:pPr>
    </w:p>
    <w:tbl>
      <w:tblPr>
        <w:tblStyle w:val="TableGrid"/>
        <w:tblW w:w="0" w:type="auto"/>
        <w:tblLook w:val="04A0"/>
      </w:tblPr>
      <w:tblGrid>
        <w:gridCol w:w="1435"/>
        <w:gridCol w:w="4140"/>
        <w:gridCol w:w="4770"/>
      </w:tblGrid>
      <w:tr w14:paraId="3A7D5B6E" w14:textId="77777777" w:rsidTr="00683D29">
        <w:tblPrEx>
          <w:tblW w:w="0" w:type="auto"/>
          <w:tblLook w:val="04A0"/>
        </w:tblPrEx>
        <w:trPr>
          <w:trHeight w:val="242"/>
        </w:trPr>
        <w:tc>
          <w:tcPr>
            <w:tcW w:w="1435" w:type="dxa"/>
            <w:shd w:val="clear" w:color="auto" w:fill="BCD3EE"/>
          </w:tcPr>
          <w:p w:rsidR="006C341A" w:rsidRPr="00500682" w:rsidP="00E74EF7" w14:paraId="3FAEE1FD" w14:textId="77777777">
            <w:pPr>
              <w:bidi w:val="0"/>
              <w:jc w:val="both"/>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pt-BR" w:eastAsia="nl-NL" w:bidi="nl-NL"/>
              </w:rPr>
              <w:t>Critérios</w:t>
            </w:r>
          </w:p>
        </w:tc>
        <w:tc>
          <w:tcPr>
            <w:tcW w:w="4140" w:type="dxa"/>
            <w:shd w:val="clear" w:color="auto" w:fill="BCD3EE"/>
          </w:tcPr>
          <w:p w:rsidR="006C341A" w:rsidRPr="00500682" w:rsidP="00E74EF7" w14:paraId="33208FF6" w14:textId="5DD5333D">
            <w:pPr>
              <w:bidi w:val="0"/>
              <w:jc w:val="both"/>
              <w:rPr>
                <w:rFonts w:eastAsia="Calibri" w:asciiTheme="majorHAnsi" w:hAnsiTheme="majorHAnsi" w:cstheme="majorHAnsi"/>
                <w:b/>
                <w:bCs/>
                <w:lang w:eastAsia="nl-NL" w:bidi="nl-NL"/>
              </w:rPr>
            </w:pPr>
            <w:r>
              <w:rPr>
                <w:rFonts w:eastAsia="Calibri" w:asciiTheme="majorHAnsi" w:hAnsiTheme="majorHAnsi" w:cstheme="majorHAnsi"/>
                <w:b/>
                <w:bCs/>
                <w:rtl w:val="0"/>
                <w:lang w:val="pt-BR" w:eastAsia="nl-NL" w:bidi="nl-NL"/>
              </w:rPr>
              <w:t>Força de trabalho temporária (no escopo)</w:t>
            </w:r>
          </w:p>
        </w:tc>
        <w:tc>
          <w:tcPr>
            <w:tcW w:w="4770" w:type="dxa"/>
            <w:shd w:val="clear" w:color="auto" w:fill="BCD3EE"/>
          </w:tcPr>
          <w:p w:rsidR="006C341A" w:rsidRPr="00500682" w:rsidP="00E74EF7" w14:paraId="033F9D2C" w14:textId="10AB35F6">
            <w:pPr>
              <w:bidi w:val="0"/>
              <w:jc w:val="both"/>
              <w:rPr>
                <w:rFonts w:eastAsia="Calibri" w:asciiTheme="majorHAnsi" w:hAnsiTheme="majorHAnsi" w:cstheme="majorHAnsi"/>
                <w:b/>
                <w:bCs/>
                <w:lang w:eastAsia="nl-NL" w:bidi="nl-NL"/>
              </w:rPr>
            </w:pPr>
            <w:r>
              <w:rPr>
                <w:rFonts w:eastAsia="Calibri" w:asciiTheme="majorHAnsi" w:hAnsiTheme="majorHAnsi" w:cstheme="majorHAnsi"/>
                <w:b/>
                <w:bCs/>
                <w:rtl w:val="0"/>
                <w:lang w:val="pt-BR" w:eastAsia="nl-NL" w:bidi="nl-NL"/>
              </w:rPr>
              <w:t>Projetos de Consultoria (Fora do Escopo)</w:t>
            </w:r>
          </w:p>
        </w:tc>
      </w:tr>
      <w:tr w14:paraId="4E43D6A7" w14:textId="77777777" w:rsidTr="0051357C">
        <w:tblPrEx>
          <w:tblW w:w="0" w:type="auto"/>
          <w:tblLook w:val="04A0"/>
        </w:tblPrEx>
        <w:tc>
          <w:tcPr>
            <w:tcW w:w="1435" w:type="dxa"/>
          </w:tcPr>
          <w:p w:rsidR="006C341A" w:rsidRPr="00500682" w:rsidP="00E74EF7" w14:paraId="76295883" w14:textId="4969C2CA">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pt-BR" w:eastAsia="nl-NL" w:bidi="nl-NL"/>
              </w:rPr>
              <w:t>Trabalho definido por:</w:t>
            </w:r>
          </w:p>
        </w:tc>
        <w:tc>
          <w:tcPr>
            <w:tcW w:w="4140" w:type="dxa"/>
          </w:tcPr>
          <w:p w:rsidR="006C341A" w:rsidRPr="00500682" w:rsidP="00E74EF7" w14:paraId="2B358A5C" w14:textId="1D430699">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Uma função com limite de tempo de no máximo 12 meses, definida por uma Descrição do Trabalho</w:t>
            </w:r>
          </w:p>
        </w:tc>
        <w:tc>
          <w:tcPr>
            <w:tcW w:w="4770" w:type="dxa"/>
          </w:tcPr>
          <w:p w:rsidR="006C341A" w:rsidRPr="00500682" w:rsidP="00E74EF7" w14:paraId="4009AD22"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Um serviço com entregas e marcos claramente definidos para atividades com menos de 24 meses</w:t>
            </w:r>
          </w:p>
        </w:tc>
      </w:tr>
      <w:tr w14:paraId="592EA028" w14:textId="77777777" w:rsidTr="0051357C">
        <w:tblPrEx>
          <w:tblW w:w="0" w:type="auto"/>
          <w:tblLook w:val="04A0"/>
        </w:tblPrEx>
        <w:tc>
          <w:tcPr>
            <w:tcW w:w="1435" w:type="dxa"/>
          </w:tcPr>
          <w:p w:rsidR="006C341A" w:rsidRPr="00500682" w:rsidP="00E74EF7" w14:paraId="1B8EB4B0" w14:textId="20D97503">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pt-BR" w:eastAsia="nl-NL" w:bidi="nl-NL"/>
              </w:rPr>
              <w:t>Pagamento</w:t>
            </w:r>
          </w:p>
        </w:tc>
        <w:tc>
          <w:tcPr>
            <w:tcW w:w="4140" w:type="dxa"/>
          </w:tcPr>
          <w:p w:rsidR="006C341A" w:rsidRPr="00500682" w:rsidP="00E74EF7" w14:paraId="4CB68C9E"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Com base no tempo e no material (por exemplo, taxa de cobrança por hora)</w:t>
            </w:r>
          </w:p>
        </w:tc>
        <w:tc>
          <w:tcPr>
            <w:tcW w:w="4770" w:type="dxa"/>
          </w:tcPr>
          <w:p w:rsidR="006C341A" w:rsidRPr="00500682" w:rsidP="00E74EF7" w14:paraId="123D6A95"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Com base na entrega e conclusão de produtos e marcos</w:t>
            </w:r>
          </w:p>
        </w:tc>
      </w:tr>
      <w:tr w14:paraId="7CB2FD0C" w14:textId="77777777" w:rsidTr="0051357C">
        <w:tblPrEx>
          <w:tblW w:w="0" w:type="auto"/>
          <w:tblLook w:val="04A0"/>
        </w:tblPrEx>
        <w:tc>
          <w:tcPr>
            <w:tcW w:w="1435" w:type="dxa"/>
          </w:tcPr>
          <w:p w:rsidR="006C341A" w:rsidRPr="00500682" w:rsidP="00E74EF7" w14:paraId="6CC30A0D" w14:textId="560F9630">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pt-BR" w:eastAsia="nl-NL" w:bidi="nl-NL"/>
              </w:rPr>
              <w:t>Perfis individuais</w:t>
            </w:r>
          </w:p>
        </w:tc>
        <w:tc>
          <w:tcPr>
            <w:tcW w:w="4140" w:type="dxa"/>
          </w:tcPr>
          <w:p w:rsidR="006C341A" w:rsidRPr="00500682" w:rsidP="00E74EF7" w14:paraId="116587AA" w14:textId="25B113FE">
            <w:pPr>
              <w:bidi w:val="0"/>
              <w:jc w:val="both"/>
              <w:rPr>
                <w:rFonts w:eastAsia="Calibri" w:asciiTheme="majorHAnsi" w:hAnsiTheme="majorHAnsi" w:cstheme="majorBidi"/>
                <w:lang w:eastAsia="nl-NL" w:bidi="nl-NL"/>
              </w:rPr>
            </w:pPr>
            <w:r w:rsidRPr="31C84DF2">
              <w:rPr>
                <w:rFonts w:eastAsia="Calibri" w:asciiTheme="majorHAnsi" w:hAnsiTheme="majorHAnsi" w:cstheme="majorBidi"/>
                <w:rtl w:val="0"/>
                <w:lang w:val="pt-BR" w:eastAsia="nl-NL" w:bidi="nl-NL"/>
              </w:rPr>
              <w:t>Os perfis individuais são determinados pela Brink's, como a seleção de um candidato específico.</w:t>
            </w:r>
          </w:p>
        </w:tc>
        <w:tc>
          <w:tcPr>
            <w:tcW w:w="4770" w:type="dxa"/>
          </w:tcPr>
          <w:p w:rsidR="006C341A" w:rsidRPr="00500682" w:rsidP="00E74EF7" w14:paraId="7F1250CE" w14:textId="2AC0DBC2">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Perfis individuais não determinados pela Brink's e selecionados a critério do fornecedor.</w:t>
            </w:r>
          </w:p>
        </w:tc>
      </w:tr>
      <w:tr w14:paraId="0F35B81C" w14:textId="77777777" w:rsidTr="0051357C">
        <w:tblPrEx>
          <w:tblW w:w="0" w:type="auto"/>
          <w:tblLook w:val="04A0"/>
        </w:tblPrEx>
        <w:tc>
          <w:tcPr>
            <w:tcW w:w="1435" w:type="dxa"/>
          </w:tcPr>
          <w:p w:rsidR="006C341A" w:rsidRPr="00500682" w:rsidP="00E74EF7" w14:paraId="79A2AC44"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pt-BR" w:eastAsia="nl-NL" w:bidi="nl-NL"/>
              </w:rPr>
              <w:t>Supervisão</w:t>
            </w:r>
          </w:p>
        </w:tc>
        <w:tc>
          <w:tcPr>
            <w:tcW w:w="4140" w:type="dxa"/>
          </w:tcPr>
          <w:p w:rsidR="006C341A" w:rsidRPr="00500682" w:rsidP="00E74EF7" w14:paraId="70B7B718"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 xml:space="preserve">Dirigido pela Brink's (como o gerente de contratação) </w:t>
            </w:r>
          </w:p>
        </w:tc>
        <w:tc>
          <w:tcPr>
            <w:tcW w:w="4770" w:type="dxa"/>
          </w:tcPr>
          <w:p w:rsidR="006C341A" w:rsidRPr="00500682" w:rsidP="00E74EF7" w14:paraId="52F80070"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Dirigido pelo fornecedor (como o gerente de conta do fornecedor)</w:t>
            </w:r>
          </w:p>
        </w:tc>
      </w:tr>
      <w:tr w14:paraId="23921145" w14:textId="77777777" w:rsidTr="0051357C">
        <w:tblPrEx>
          <w:tblW w:w="0" w:type="auto"/>
          <w:tblLook w:val="04A0"/>
        </w:tblPrEx>
        <w:tc>
          <w:tcPr>
            <w:tcW w:w="1435" w:type="dxa"/>
          </w:tcPr>
          <w:p w:rsidR="008E318B" w:rsidRPr="00500682" w:rsidP="00E74EF7" w14:paraId="2B2EA27D" w14:textId="6C02FB81">
            <w:pPr>
              <w:bidi w:val="0"/>
              <w:rPr>
                <w:rFonts w:eastAsia="Calibri" w:asciiTheme="majorHAnsi" w:hAnsiTheme="majorHAnsi" w:cstheme="majorHAnsi"/>
                <w:b/>
                <w:bCs/>
                <w:lang w:eastAsia="nl-NL" w:bidi="nl-NL"/>
              </w:rPr>
            </w:pPr>
            <w:r>
              <w:rPr>
                <w:rFonts w:eastAsia="Calibri" w:asciiTheme="majorHAnsi" w:hAnsiTheme="majorHAnsi" w:cstheme="majorHAnsi"/>
                <w:b/>
                <w:bCs/>
                <w:rtl w:val="0"/>
                <w:lang w:val="pt-BR" w:eastAsia="nl-NL" w:bidi="nl-NL"/>
              </w:rPr>
              <w:t>Temporário para contratar</w:t>
            </w:r>
          </w:p>
        </w:tc>
        <w:tc>
          <w:tcPr>
            <w:tcW w:w="4140" w:type="dxa"/>
            <w:shd w:val="clear" w:color="auto" w:fill="auto"/>
          </w:tcPr>
          <w:p w:rsidR="008E318B" w:rsidRPr="00500682" w:rsidP="00E74EF7" w14:paraId="371C546D" w14:textId="696394CB">
            <w:pPr>
              <w:bidi w:val="0"/>
              <w:jc w:val="both"/>
              <w:rPr>
                <w:rFonts w:eastAsia="Calibri" w:asciiTheme="majorHAnsi" w:hAnsiTheme="majorHAnsi" w:cstheme="majorHAnsi"/>
                <w:lang w:eastAsia="nl-NL" w:bidi="nl-NL"/>
              </w:rPr>
            </w:pPr>
            <w:r>
              <w:rPr>
                <w:rFonts w:eastAsia="Calibri" w:asciiTheme="majorHAnsi" w:hAnsiTheme="majorHAnsi" w:cstheme="majorHAnsi"/>
                <w:rtl w:val="0"/>
                <w:lang w:val="pt-BR" w:eastAsia="nl-NL" w:bidi="nl-NL"/>
              </w:rPr>
              <w:t>Os trabalhadores temporários podem se converter em funcionários permanentes na Brink's, a menos que sejam autônomos.</w:t>
            </w:r>
          </w:p>
        </w:tc>
        <w:tc>
          <w:tcPr>
            <w:tcW w:w="4770" w:type="dxa"/>
          </w:tcPr>
          <w:p w:rsidR="008E318B" w:rsidRPr="00500682" w:rsidP="00E74EF7" w14:paraId="54DFAA38" w14:textId="0A3766F2">
            <w:pPr>
              <w:bidi w:val="0"/>
              <w:jc w:val="both"/>
              <w:rPr>
                <w:rFonts w:eastAsia="Calibri" w:asciiTheme="majorHAnsi" w:hAnsiTheme="majorHAnsi" w:cstheme="majorHAnsi"/>
                <w:lang w:eastAsia="nl-NL" w:bidi="nl-NL"/>
              </w:rPr>
            </w:pPr>
            <w:r w:rsidRPr="006B13F0">
              <w:rPr>
                <w:rFonts w:eastAsia="Calibri" w:asciiTheme="majorHAnsi" w:hAnsiTheme="majorHAnsi" w:cstheme="majorHAnsi"/>
                <w:rtl w:val="0"/>
                <w:lang w:val="pt-BR" w:eastAsia="nl-NL" w:bidi="nl-NL"/>
              </w:rPr>
              <w:t>A Brinks não pode contratar consultores permanentemente, a menos que estejam dispostos a mudar de empregador, e isso não é contratualmente proibido.</w:t>
            </w:r>
          </w:p>
        </w:tc>
      </w:tr>
      <w:tr w14:paraId="50D49A2F" w14:textId="77777777" w:rsidTr="0051357C">
        <w:tblPrEx>
          <w:tblW w:w="0" w:type="auto"/>
          <w:tblLook w:val="04A0"/>
        </w:tblPrEx>
        <w:tc>
          <w:tcPr>
            <w:tcW w:w="1435" w:type="dxa"/>
          </w:tcPr>
          <w:p w:rsidR="006C341A" w:rsidRPr="00500682" w:rsidP="00E74EF7" w14:paraId="1AE4C179"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pt-BR" w:eastAsia="nl-NL" w:bidi="nl-NL"/>
              </w:rPr>
              <w:t>Responsabilidade</w:t>
            </w:r>
          </w:p>
        </w:tc>
        <w:tc>
          <w:tcPr>
            <w:tcW w:w="4140" w:type="dxa"/>
            <w:shd w:val="clear" w:color="auto" w:fill="auto"/>
          </w:tcPr>
          <w:p w:rsidR="006C341A" w:rsidRPr="00500682" w:rsidP="00E74EF7" w14:paraId="54DEF461" w14:textId="43BDDE7D">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Recai sobre a Brink's (a Brink's é responsável pela entrega e qualidade do resultado)</w:t>
            </w:r>
          </w:p>
        </w:tc>
        <w:tc>
          <w:tcPr>
            <w:tcW w:w="4770" w:type="dxa"/>
          </w:tcPr>
          <w:p w:rsidR="006C341A" w:rsidRPr="00500682" w:rsidP="00E74EF7" w14:paraId="08521AA3"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pt-BR" w:eastAsia="nl-NL" w:bidi="nl-NL"/>
              </w:rPr>
              <w:t>Recai sobre o fornecedor (a Brink's não se responsabiliza pela entrega e qualidade do resultado)</w:t>
            </w:r>
          </w:p>
        </w:tc>
      </w:tr>
      <w:tr w14:paraId="0259691B" w14:textId="77777777" w:rsidTr="0051357C">
        <w:tblPrEx>
          <w:tblW w:w="0" w:type="auto"/>
          <w:tblLook w:val="04A0"/>
        </w:tblPrEx>
        <w:tc>
          <w:tcPr>
            <w:tcW w:w="1435" w:type="dxa"/>
          </w:tcPr>
          <w:p w:rsidR="006C341A" w:rsidRPr="00500682" w:rsidP="00E74EF7" w14:paraId="072BD50B"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pt-BR" w:eastAsia="nl-NL" w:bidi="nl-NL"/>
              </w:rPr>
              <w:t>Exemplos</w:t>
            </w:r>
          </w:p>
        </w:tc>
        <w:tc>
          <w:tcPr>
            <w:tcW w:w="4140" w:type="dxa"/>
          </w:tcPr>
          <w:p w:rsidR="006C341A" w:rsidRPr="00500682" w:rsidP="00E74EF7" w14:paraId="3798C3EA" w14:textId="2C5023BD">
            <w:pPr>
              <w:bidi w:val="0"/>
              <w:jc w:val="both"/>
              <w:rPr>
                <w:rFonts w:eastAsia="Calibri" w:asciiTheme="majorHAnsi" w:hAnsiTheme="majorHAnsi" w:cstheme="majorHAnsi"/>
                <w:lang w:eastAsia="nl-NL" w:bidi="nl-NL"/>
              </w:rPr>
            </w:pPr>
            <w:r w:rsidRPr="0074239A">
              <w:rPr>
                <w:rFonts w:eastAsia="Calibri" w:asciiTheme="majorHAnsi" w:hAnsiTheme="majorHAnsi" w:cstheme="majorHAnsi"/>
                <w:rtl w:val="0"/>
                <w:lang w:val="pt-BR" w:eastAsia="nl-NL" w:bidi="nl-NL"/>
              </w:rPr>
              <w:t xml:space="preserve">A Brink's está contratando um desenvolvedor web pago por hora sob a supervisão direta do gerente de contratação por 5 meses. O trabalhador não é responsável pela qualidade do seu trabalho. Uma vez que este trabalhador está sob a supervisão direta de um gerente da Brink's, a Brink's continua a ser proprietária da Propriedade Intelectual, mas também responsável pela qualidade do trabalho. </w:t>
            </w:r>
          </w:p>
        </w:tc>
        <w:tc>
          <w:tcPr>
            <w:tcW w:w="4770" w:type="dxa"/>
          </w:tcPr>
          <w:p w:rsidR="006C341A" w:rsidP="00E74EF7" w14:paraId="3C3BB4E5" w14:textId="533B1C83">
            <w:pPr>
              <w:bidi w:val="0"/>
              <w:jc w:val="both"/>
              <w:rPr>
                <w:rFonts w:eastAsia="Calibri" w:asciiTheme="majorHAnsi" w:hAnsiTheme="majorHAnsi" w:cstheme="majorBidi"/>
                <w:lang w:eastAsia="nl-NL" w:bidi="nl-NL"/>
              </w:rPr>
            </w:pPr>
            <w:r w:rsidRPr="31C84DF2">
              <w:rPr>
                <w:rFonts w:eastAsia="Calibri" w:asciiTheme="majorHAnsi" w:hAnsiTheme="majorHAnsi" w:cstheme="majorBidi"/>
                <w:rtl w:val="0"/>
                <w:lang w:val="pt-BR" w:eastAsia="nl-NL" w:bidi="nl-NL"/>
              </w:rPr>
              <w:t xml:space="preserve">Uma empresa contratada para entregar um site para a Brink's dentro de um ano. As especificações são claramente definidas para o site (como conteúdo, UX ou SEO). O pagamento é liberado após a conclusão de marcos com entregas específicas. </w:t>
            </w:r>
          </w:p>
          <w:p w:rsidR="008E318B" w:rsidP="00E74EF7" w14:paraId="26A1B438" w14:textId="77777777">
            <w:pPr>
              <w:jc w:val="both"/>
              <w:rPr>
                <w:rFonts w:eastAsia="Calibri" w:asciiTheme="majorHAnsi" w:hAnsiTheme="majorHAnsi" w:cstheme="majorHAnsi"/>
                <w:lang w:eastAsia="nl-NL" w:bidi="nl-NL"/>
              </w:rPr>
            </w:pPr>
          </w:p>
          <w:p w:rsidR="008E318B" w:rsidRPr="00500682" w:rsidP="00E74EF7" w14:paraId="7AA0B555" w14:textId="77777777">
            <w:pPr>
              <w:jc w:val="both"/>
              <w:rPr>
                <w:rFonts w:eastAsia="Calibri" w:asciiTheme="majorHAnsi" w:hAnsiTheme="majorHAnsi" w:cstheme="majorHAnsi"/>
                <w:lang w:eastAsia="nl-NL" w:bidi="nl-NL"/>
              </w:rPr>
            </w:pPr>
          </w:p>
        </w:tc>
      </w:tr>
    </w:tbl>
    <w:p w:rsidR="006C341A" w:rsidP="006C341A" w14:paraId="00A5E1B2" w14:textId="784400DC">
      <w:pPr>
        <w:bidi w:val="0"/>
        <w:jc w:val="both"/>
        <w:rPr>
          <w:rFonts w:eastAsia="Calibri" w:asciiTheme="majorHAnsi" w:hAnsiTheme="majorHAnsi" w:cstheme="majorHAnsi"/>
          <w:i/>
          <w:iCs/>
          <w:sz w:val="22"/>
          <w:szCs w:val="22"/>
          <w:lang w:eastAsia="nl-NL" w:bidi="nl-NL"/>
        </w:rPr>
      </w:pPr>
      <w:r w:rsidRPr="00500682">
        <w:rPr>
          <w:rFonts w:eastAsia="Calibri" w:asciiTheme="majorHAnsi" w:hAnsiTheme="majorHAnsi" w:cstheme="majorHAnsi"/>
          <w:i/>
          <w:iCs/>
          <w:sz w:val="22"/>
          <w:szCs w:val="22"/>
          <w:rtl w:val="0"/>
          <w:lang w:val="pt-BR" w:eastAsia="nl-NL" w:bidi="nl-NL"/>
        </w:rPr>
        <w:t>* Pode haver uma situação específica em que um indivíduo é pago com base na quantidade de tempo e material trabalhado e com base na entrega de pelo menos um resultado. Nesse cenário, os respectivos recursos serão tratados como Trabalhador Temporário (dentro do escopo), a menos que a aprovação excepcional seja fornecida pelo Parceiro de Negócios de RH local.</w:t>
      </w:r>
    </w:p>
    <w:p w:rsidR="006C341A" w:rsidRPr="0074239A" w:rsidP="006C341A" w14:paraId="76D00981" w14:textId="77777777">
      <w:pPr>
        <w:jc w:val="both"/>
        <w:rPr>
          <w:rFonts w:eastAsia="Calibri" w:asciiTheme="majorHAnsi" w:hAnsiTheme="majorHAnsi" w:cstheme="majorHAnsi"/>
          <w:b/>
          <w:bCs/>
          <w:sz w:val="22"/>
          <w:szCs w:val="22"/>
          <w:lang w:eastAsia="nl-NL" w:bidi="nl-NL"/>
        </w:rPr>
      </w:pPr>
      <w:bookmarkStart w:id="16" w:name="_Toc64992947"/>
    </w:p>
    <w:bookmarkEnd w:id="16"/>
    <w:p w:rsidR="00005666" w:rsidP="00005666" w14:paraId="1BFF01C5" w14:textId="77777777">
      <w:pPr>
        <w:bidi w:val="0"/>
        <w:spacing w:line="259" w:lineRule="auto"/>
        <w:jc w:val="both"/>
        <w:rPr>
          <w:rFonts w:asciiTheme="majorHAnsi" w:hAnsiTheme="majorHAnsi" w:cstheme="majorBidi"/>
          <w:b/>
          <w:bCs/>
          <w:sz w:val="22"/>
          <w:szCs w:val="22"/>
          <w:lang w:eastAsia="nl-NL" w:bidi="nl-NL"/>
        </w:rPr>
      </w:pPr>
      <w:r w:rsidRPr="0051357C">
        <w:rPr>
          <w:rFonts w:asciiTheme="majorHAnsi" w:hAnsiTheme="majorHAnsi" w:cstheme="majorBidi"/>
          <w:b/>
          <w:bCs/>
          <w:sz w:val="22"/>
          <w:szCs w:val="22"/>
          <w:rtl w:val="0"/>
          <w:lang w:val="pt-BR" w:eastAsia="nl-NL" w:bidi="nl-NL"/>
        </w:rPr>
        <w:t>Para serviços de consultoria, consulte a Política Global de Serviços Profissionais.</w:t>
      </w:r>
    </w:p>
    <w:p w:rsidR="004E6945" w:rsidRPr="00852C02" w:rsidP="00005666" w14:paraId="48C13321" w14:textId="3666ACC6">
      <w:pPr>
        <w:pStyle w:val="Heading1"/>
        <w:bidi w:val="0"/>
        <w:rPr>
          <w:rFonts w:eastAsia="Calibri"/>
          <w:color w:val="auto"/>
          <w:lang w:eastAsia="nl-NL" w:bidi="nl-NL"/>
        </w:rPr>
      </w:pPr>
      <w:bookmarkStart w:id="17" w:name="_Toc256000012"/>
      <w:r w:rsidRPr="00852C02">
        <w:rPr>
          <w:color w:val="auto"/>
          <w:rtl w:val="0"/>
          <w:lang w:val="pt-BR"/>
        </w:rPr>
        <w:t>REGRAS PARA CONTRATAÇÃO DE TRABALHADORES TEMPORÁRIOS</w:t>
      </w:r>
      <w:bookmarkEnd w:id="17"/>
    </w:p>
    <w:p w:rsidR="003A6BF9" w:rsidRPr="00D91457" w:rsidP="0051357C" w14:paraId="79464173" w14:textId="43BEC508">
      <w:pPr>
        <w:pStyle w:val="Heading2"/>
        <w:bidi w:val="0"/>
        <w:ind w:left="360"/>
        <w:rPr>
          <w:sz w:val="22"/>
          <w:szCs w:val="22"/>
        </w:rPr>
      </w:pPr>
      <w:bookmarkStart w:id="18" w:name="_Toc256000013"/>
      <w:r w:rsidRPr="3766A6B7">
        <w:rPr>
          <w:color w:val="auto"/>
          <w:sz w:val="22"/>
          <w:szCs w:val="22"/>
          <w:rtl w:val="0"/>
          <w:lang w:val="pt-BR"/>
        </w:rPr>
        <w:t>Processo geral de tomada de decisão</w:t>
      </w:r>
      <w:bookmarkEnd w:id="18"/>
      <w:bookmarkStart w:id="19" w:name="_Toc179490785"/>
      <w:bookmarkStart w:id="20" w:name="_Toc179490891"/>
      <w:bookmarkStart w:id="21" w:name="_Toc179490963"/>
      <w:bookmarkStart w:id="22" w:name="_Toc179491278"/>
      <w:bookmarkStart w:id="23" w:name="_Toc179491319"/>
      <w:bookmarkStart w:id="24" w:name="_Toc179492945"/>
      <w:bookmarkStart w:id="25" w:name="_Toc179490892"/>
      <w:bookmarkStart w:id="26" w:name="_Toc179491320"/>
      <w:bookmarkStart w:id="27" w:name="_Toc179492946"/>
      <w:bookmarkEnd w:id="19"/>
      <w:bookmarkEnd w:id="20"/>
      <w:bookmarkEnd w:id="21"/>
      <w:bookmarkEnd w:id="22"/>
      <w:bookmarkEnd w:id="23"/>
      <w:bookmarkEnd w:id="24"/>
      <w:bookmarkEnd w:id="25"/>
      <w:bookmarkEnd w:id="26"/>
      <w:bookmarkEnd w:id="27"/>
    </w:p>
    <w:p w:rsidR="009872EC" w:rsidP="003A6BF9" w14:paraId="3EEAE3FB" w14:textId="54D4FF06">
      <w:pPr>
        <w:bidi w:val="0"/>
        <w:rPr>
          <w:rFonts w:asciiTheme="majorHAnsi" w:hAnsiTheme="majorHAnsi" w:cstheme="majorBidi"/>
          <w:sz w:val="22"/>
          <w:szCs w:val="22"/>
        </w:rPr>
      </w:pPr>
      <w:r w:rsidRPr="0051357C">
        <w:rPr>
          <w:rFonts w:asciiTheme="majorHAnsi" w:hAnsiTheme="majorHAnsi" w:cstheme="majorBidi"/>
          <w:sz w:val="22"/>
          <w:szCs w:val="22"/>
          <w:rtl w:val="0"/>
          <w:lang w:val="pt-BR"/>
        </w:rPr>
        <w:t>O processo de tomada de decisão abaixo é utilizado quando a necessidade de um Trabalhador Temporário é identificada:</w:t>
      </w:r>
    </w:p>
    <w:p w:rsidR="003A3A91" w:rsidP="003A6BF9" w14:paraId="2F23029A" w14:textId="0A35833C">
      <w:pPr>
        <w:rPr>
          <w:rFonts w:asciiTheme="majorHAnsi" w:hAnsiTheme="majorHAnsi" w:cstheme="majorBidi"/>
          <w:sz w:val="22"/>
          <w:szCs w:val="22"/>
        </w:rPr>
      </w:pPr>
      <w:r w:rsidRPr="00134918">
        <w:rPr>
          <w:rFonts w:asciiTheme="majorHAnsi" w:hAnsiTheme="majorHAnsi" w:cstheme="majorBidi"/>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193040</wp:posOffset>
            </wp:positionV>
            <wp:extent cx="6332855" cy="3644900"/>
            <wp:effectExtent l="0" t="0" r="0" b="0"/>
            <wp:wrapTopAndBottom/>
            <wp:docPr id="70214483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41762" name="Picture 1" descr="A diagram of a company&#10;&#10;Description automatically generated"/>
                    <pic:cNvPicPr/>
                  </pic:nvPicPr>
                  <pic:blipFill>
                    <a:blip xmlns:r="http://schemas.openxmlformats.org/officeDocument/2006/relationships" r:embed="rId8"/>
                    <a:stretch>
                      <a:fillRect/>
                    </a:stretch>
                  </pic:blipFill>
                  <pic:spPr>
                    <a:xfrm>
                      <a:off x="0" y="0"/>
                      <a:ext cx="6332855" cy="3644900"/>
                    </a:xfrm>
                    <a:prstGeom prst="rect">
                      <a:avLst/>
                    </a:prstGeom>
                  </pic:spPr>
                </pic:pic>
              </a:graphicData>
            </a:graphic>
            <wp14:sizeRelH relativeFrom="margin">
              <wp14:pctWidth>0</wp14:pctWidth>
            </wp14:sizeRelH>
            <wp14:sizeRelV relativeFrom="margin">
              <wp14:pctHeight>0</wp14:pctHeight>
            </wp14:sizeRelV>
          </wp:anchor>
        </w:drawing>
      </w:r>
    </w:p>
    <w:p w:rsidR="009872EC" w:rsidP="009872EC" w14:paraId="219FCB6D" w14:textId="545292BB"/>
    <w:p w:rsidR="009872EC" w:rsidRPr="0051357C" w:rsidP="0051357C" w14:paraId="261D3E7C" w14:textId="77777777"/>
    <w:p w:rsidR="002D03F2" w:rsidP="002D03F2" w14:paraId="783A7951" w14:textId="3C628143">
      <w:pPr>
        <w:pStyle w:val="Heading2"/>
        <w:bidi w:val="0"/>
        <w:ind w:left="360"/>
        <w:rPr>
          <w:color w:val="auto"/>
          <w:sz w:val="22"/>
          <w:szCs w:val="22"/>
        </w:rPr>
      </w:pPr>
      <w:bookmarkStart w:id="28" w:name="_Toc256000014"/>
      <w:r w:rsidRPr="0051357C">
        <w:rPr>
          <w:color w:val="auto"/>
          <w:sz w:val="22"/>
          <w:szCs w:val="22"/>
          <w:rtl w:val="0"/>
          <w:lang w:val="pt-BR"/>
        </w:rPr>
        <w:t>Lista global de fornecedores preferenciais</w:t>
      </w:r>
      <w:bookmarkEnd w:id="28"/>
    </w:p>
    <w:p w:rsidR="002D03F2" w:rsidRPr="0051357C" w:rsidP="0051357C" w14:paraId="4B14034A" w14:textId="45E5A4C6"/>
    <w:p w:rsidR="002D03F2" w:rsidRPr="0074239A" w:rsidP="002D03F2" w14:paraId="515A07E4" w14:textId="1608A89F">
      <w:pPr>
        <w:bidi w:val="0"/>
        <w:ind w:left="360"/>
        <w:rPr>
          <w:rFonts w:eastAsia="SimHei" w:asciiTheme="majorHAnsi" w:hAnsiTheme="majorHAnsi" w:cstheme="majorBidi"/>
          <w:sz w:val="22"/>
          <w:szCs w:val="22"/>
        </w:rPr>
      </w:pPr>
      <w:r w:rsidRPr="3766A6B7">
        <w:rPr>
          <w:rFonts w:eastAsia="SimHei" w:asciiTheme="majorHAnsi" w:hAnsiTheme="majorHAnsi" w:cstheme="majorBidi"/>
          <w:sz w:val="22"/>
          <w:szCs w:val="22"/>
          <w:rtl w:val="0"/>
          <w:lang w:val="pt-BR"/>
        </w:rPr>
        <w:t xml:space="preserve">A partir de </w:t>
      </w:r>
      <w:r w:rsidRPr="0051357C">
        <w:rPr>
          <w:rFonts w:eastAsia="SimHei" w:asciiTheme="majorHAnsi" w:hAnsiTheme="majorHAnsi" w:cstheme="majorBidi"/>
          <w:sz w:val="22"/>
          <w:szCs w:val="22"/>
          <w:vertAlign w:val="superscript"/>
          <w:rtl w:val="0"/>
          <w:lang w:val="pt-BR"/>
        </w:rPr>
        <w:t>1º</w:t>
      </w:r>
      <w:r w:rsidRPr="3766A6B7">
        <w:rPr>
          <w:rFonts w:eastAsia="SimHei" w:asciiTheme="majorHAnsi" w:hAnsiTheme="majorHAnsi" w:cstheme="majorBidi"/>
          <w:sz w:val="22"/>
          <w:szCs w:val="22"/>
          <w:rtl w:val="0"/>
          <w:lang w:val="pt-BR"/>
        </w:rPr>
        <w:t xml:space="preserve"> de novembro de 2024, a Brink's tem dois fornecedores preferenciais globais – Robert Half e Adecco. Esses fornecedores devem ser priorizados para todos os requisitos de Trabalhadores Temporários. </w:t>
      </w:r>
    </w:p>
    <w:p w:rsidR="002D03F2" w:rsidRPr="0074239A" w:rsidP="002D03F2" w14:paraId="05ED95F7" w14:textId="77777777">
      <w:pPr>
        <w:rPr>
          <w:rFonts w:eastAsia="SimHei" w:asciiTheme="majorHAnsi" w:hAnsiTheme="majorHAnsi" w:cstheme="majorBidi"/>
          <w:sz w:val="22"/>
          <w:szCs w:val="22"/>
        </w:rPr>
      </w:pPr>
    </w:p>
    <w:tbl>
      <w:tblPr>
        <w:tblW w:w="10142" w:type="dxa"/>
        <w:tblInd w:w="113" w:type="dxa"/>
        <w:tblLook w:val="04A0"/>
      </w:tblPr>
      <w:tblGrid>
        <w:gridCol w:w="400"/>
        <w:gridCol w:w="2925"/>
        <w:gridCol w:w="3397"/>
        <w:gridCol w:w="3420"/>
      </w:tblGrid>
      <w:tr w14:paraId="22937E75" w14:textId="77777777" w:rsidTr="6B3824FD">
        <w:tblPrEx>
          <w:tblW w:w="10142" w:type="dxa"/>
          <w:tblInd w:w="113" w:type="dxa"/>
          <w:tblLook w:val="04A0"/>
        </w:tblPrEx>
        <w:trPr>
          <w:trHeight w:val="310"/>
        </w:trPr>
        <w:tc>
          <w:tcPr>
            <w:tcW w:w="400" w:type="dxa"/>
            <w:tcBorders>
              <w:top w:val="single" w:sz="4" w:space="0" w:color="auto"/>
              <w:left w:val="single" w:sz="4" w:space="0" w:color="auto"/>
              <w:bottom w:val="single" w:sz="4" w:space="0" w:color="auto"/>
              <w:right w:val="single" w:sz="4" w:space="0" w:color="auto"/>
            </w:tcBorders>
            <w:shd w:val="clear" w:color="auto" w:fill="BCD3EE"/>
            <w:noWrap/>
            <w:vAlign w:val="bottom"/>
            <w:hideMark/>
          </w:tcPr>
          <w:p w:rsidR="002D03F2" w:rsidRPr="00D030C9" w:rsidP="00E74EF7" w14:paraId="069ED9EF"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pt-BR"/>
              </w:rPr>
              <w:t>#</w:t>
            </w:r>
          </w:p>
        </w:tc>
        <w:tc>
          <w:tcPr>
            <w:tcW w:w="2925"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171B57F4"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pt-BR"/>
              </w:rPr>
              <w:t>Nome do fornecedor</w:t>
            </w:r>
          </w:p>
        </w:tc>
        <w:tc>
          <w:tcPr>
            <w:tcW w:w="3397"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0F09F2FA"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pt-BR"/>
              </w:rPr>
              <w:t>Nome da POC</w:t>
            </w:r>
          </w:p>
        </w:tc>
        <w:tc>
          <w:tcPr>
            <w:tcW w:w="3420"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0BBB114D"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pt-BR"/>
              </w:rPr>
              <w:t>POC E-Mail</w:t>
            </w:r>
          </w:p>
        </w:tc>
      </w:tr>
      <w:tr w14:paraId="31D69D5C" w14:textId="77777777" w:rsidTr="6B3824FD">
        <w:tblPrEx>
          <w:tblW w:w="10142" w:type="dxa"/>
          <w:tblInd w:w="113" w:type="dxa"/>
          <w:tblLook w:val="04A0"/>
        </w:tblPrEx>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2D03F2" w:rsidRPr="0074239A" w:rsidP="00E74EF7" w14:paraId="0F670CEC" w14:textId="77777777">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pt-BR"/>
              </w:rPr>
              <w:t>1</w:t>
            </w:r>
          </w:p>
        </w:tc>
        <w:tc>
          <w:tcPr>
            <w:tcW w:w="2925" w:type="dxa"/>
            <w:tcBorders>
              <w:top w:val="nil"/>
              <w:left w:val="nil"/>
              <w:bottom w:val="single" w:sz="4" w:space="0" w:color="auto"/>
              <w:right w:val="single" w:sz="4" w:space="0" w:color="auto"/>
            </w:tcBorders>
            <w:shd w:val="clear" w:color="auto" w:fill="auto"/>
            <w:noWrap/>
            <w:vAlign w:val="bottom"/>
            <w:hideMark/>
          </w:tcPr>
          <w:p w:rsidR="002D03F2" w:rsidRPr="0074239A" w:rsidP="00E74EF7" w14:paraId="7F6778F8" w14:textId="6EDF7CA3">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pt-BR"/>
              </w:rPr>
              <w:t>Grupo Adecco</w:t>
            </w:r>
          </w:p>
        </w:tc>
        <w:tc>
          <w:tcPr>
            <w:tcW w:w="3397" w:type="dxa"/>
            <w:tcBorders>
              <w:top w:val="nil"/>
              <w:left w:val="nil"/>
              <w:bottom w:val="single" w:sz="4" w:space="0" w:color="auto"/>
              <w:right w:val="single" w:sz="4" w:space="0" w:color="auto"/>
            </w:tcBorders>
            <w:shd w:val="clear" w:color="auto" w:fill="auto"/>
            <w:noWrap/>
            <w:vAlign w:val="bottom"/>
            <w:hideMark/>
          </w:tcPr>
          <w:p w:rsidR="002D03F2" w:rsidRPr="0074239A" w:rsidP="00E96AF9" w14:paraId="3F98CDFC" w14:textId="70240C46">
            <w:pPr>
              <w:bidi w:val="0"/>
              <w:jc w:val="center"/>
              <w:rPr>
                <w:rFonts w:asciiTheme="majorHAnsi" w:hAnsiTheme="majorHAnsi" w:cstheme="majorBidi"/>
                <w:color w:val="000000"/>
                <w:sz w:val="22"/>
                <w:szCs w:val="22"/>
              </w:rPr>
            </w:pPr>
            <w:r w:rsidRPr="0028735B">
              <w:rPr>
                <w:rFonts w:asciiTheme="majorHAnsi" w:hAnsiTheme="majorHAnsi" w:cstheme="majorBidi"/>
                <w:color w:val="000000"/>
                <w:sz w:val="22"/>
                <w:szCs w:val="22"/>
                <w:rtl w:val="0"/>
                <w:lang w:val="pt-BR"/>
              </w:rPr>
              <w:t>Jeney James</w:t>
            </w:r>
          </w:p>
        </w:tc>
        <w:tc>
          <w:tcPr>
            <w:tcW w:w="3420" w:type="dxa"/>
            <w:tcBorders>
              <w:top w:val="nil"/>
              <w:left w:val="nil"/>
              <w:bottom w:val="single" w:sz="4" w:space="0" w:color="auto"/>
              <w:right w:val="single" w:sz="4" w:space="0" w:color="auto"/>
            </w:tcBorders>
            <w:shd w:val="clear" w:color="auto" w:fill="auto"/>
            <w:noWrap/>
            <w:vAlign w:val="bottom"/>
            <w:hideMark/>
          </w:tcPr>
          <w:p w:rsidR="002D03F2" w:rsidRPr="0074239A" w:rsidP="00E74EF7" w14:paraId="64231B2E" w14:textId="08F9985B">
            <w:pPr>
              <w:bidi w:val="0"/>
              <w:rPr>
                <w:rFonts w:asciiTheme="majorHAnsi" w:hAnsiTheme="majorHAnsi" w:cstheme="majorBidi"/>
                <w:color w:val="000000"/>
                <w:sz w:val="22"/>
                <w:szCs w:val="22"/>
              </w:rPr>
            </w:pPr>
            <w:r w:rsidRPr="0028735B">
              <w:rPr>
                <w:rFonts w:asciiTheme="majorHAnsi" w:hAnsiTheme="majorHAnsi" w:cstheme="majorBidi"/>
                <w:color w:val="000000"/>
                <w:sz w:val="22"/>
                <w:szCs w:val="22"/>
                <w:rtl w:val="0"/>
                <w:lang w:val="pt-BR"/>
              </w:rPr>
              <w:t>Jeney.James@adeccona.com</w:t>
            </w:r>
          </w:p>
        </w:tc>
      </w:tr>
      <w:tr w14:paraId="400FB1F3" w14:textId="77777777" w:rsidTr="6B3824FD">
        <w:tblPrEx>
          <w:tblW w:w="10142" w:type="dxa"/>
          <w:tblInd w:w="113" w:type="dxa"/>
          <w:tblLook w:val="04A0"/>
        </w:tblPrEx>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2D03F2" w:rsidRPr="0074239A" w:rsidP="00E74EF7" w14:paraId="115FB09C" w14:textId="77777777">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pt-BR"/>
              </w:rPr>
              <w:t>2</w:t>
            </w:r>
          </w:p>
        </w:tc>
        <w:tc>
          <w:tcPr>
            <w:tcW w:w="2925" w:type="dxa"/>
            <w:tcBorders>
              <w:top w:val="nil"/>
              <w:left w:val="nil"/>
              <w:bottom w:val="single" w:sz="4" w:space="0" w:color="auto"/>
              <w:right w:val="single" w:sz="4" w:space="0" w:color="auto"/>
            </w:tcBorders>
            <w:shd w:val="clear" w:color="auto" w:fill="auto"/>
            <w:noWrap/>
            <w:vAlign w:val="bottom"/>
            <w:hideMark/>
          </w:tcPr>
          <w:p w:rsidR="002D03F2" w:rsidRPr="0074239A" w:rsidP="6B3824FD" w14:paraId="1F071083" w14:textId="77777777">
            <w:pPr>
              <w:bidi w:val="0"/>
              <w:jc w:val="cente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pt-BR"/>
              </w:rPr>
              <w:t>Robert Metade</w:t>
            </w:r>
          </w:p>
        </w:tc>
        <w:tc>
          <w:tcPr>
            <w:tcW w:w="3397" w:type="dxa"/>
            <w:tcBorders>
              <w:top w:val="nil"/>
              <w:left w:val="nil"/>
              <w:bottom w:val="single" w:sz="4" w:space="0" w:color="auto"/>
              <w:right w:val="single" w:sz="4" w:space="0" w:color="auto"/>
            </w:tcBorders>
            <w:shd w:val="clear" w:color="auto" w:fill="auto"/>
            <w:noWrap/>
            <w:vAlign w:val="bottom"/>
            <w:hideMark/>
          </w:tcPr>
          <w:p w:rsidR="002D03F2" w:rsidRPr="0074239A" w:rsidP="0051357C" w14:paraId="6D114223" w14:textId="58728861">
            <w:pPr>
              <w:bidi w:val="0"/>
              <w:jc w:val="center"/>
              <w:rPr>
                <w:rFonts w:asciiTheme="majorHAnsi" w:hAnsiTheme="majorHAnsi" w:cstheme="majorBidi"/>
                <w:color w:val="000000"/>
                <w:sz w:val="22"/>
                <w:szCs w:val="22"/>
              </w:rPr>
            </w:pPr>
            <w:r>
              <w:rPr>
                <w:rFonts w:asciiTheme="majorHAnsi" w:hAnsiTheme="majorHAnsi" w:cstheme="majorBidi"/>
                <w:color w:val="000000"/>
                <w:sz w:val="22"/>
                <w:szCs w:val="22"/>
                <w:rtl w:val="0"/>
                <w:lang w:val="pt-BR"/>
              </w:rPr>
              <w:t>Jenifer Mauney</w:t>
            </w:r>
          </w:p>
        </w:tc>
        <w:tc>
          <w:tcPr>
            <w:tcW w:w="3420" w:type="dxa"/>
            <w:tcBorders>
              <w:top w:val="nil"/>
              <w:left w:val="nil"/>
              <w:bottom w:val="single" w:sz="4" w:space="0" w:color="auto"/>
              <w:right w:val="single" w:sz="4" w:space="0" w:color="auto"/>
            </w:tcBorders>
            <w:shd w:val="clear" w:color="auto" w:fill="auto"/>
            <w:noWrap/>
            <w:vAlign w:val="bottom"/>
            <w:hideMark/>
          </w:tcPr>
          <w:p w:rsidR="002D03F2" w:rsidRPr="0074239A" w:rsidP="6B3824FD" w14:paraId="4A231CAB" w14:textId="6F529129">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pt-BR"/>
              </w:rPr>
              <w:t>jenifer.mauney@roberthalf.com</w:t>
            </w:r>
          </w:p>
        </w:tc>
      </w:tr>
    </w:tbl>
    <w:p w:rsidR="004A4C3B" w:rsidP="004A4C3B" w14:paraId="0D60E802" w14:textId="77777777"/>
    <w:p w:rsidR="003A1B39" w:rsidP="0051357C" w14:paraId="7B687A39" w14:textId="5BB2D3F3">
      <w:pPr>
        <w:bidi w:val="0"/>
        <w:ind w:left="360"/>
        <w:rPr>
          <w:rFonts w:eastAsia="SimHei" w:asciiTheme="majorHAnsi" w:hAnsiTheme="majorHAnsi" w:cstheme="majorBidi"/>
          <w:sz w:val="22"/>
          <w:szCs w:val="22"/>
        </w:rPr>
      </w:pPr>
      <w:r w:rsidRPr="3766A6B7">
        <w:rPr>
          <w:rFonts w:eastAsia="SimHei" w:asciiTheme="majorHAnsi" w:hAnsiTheme="majorHAnsi" w:cstheme="majorBidi"/>
          <w:sz w:val="22"/>
          <w:szCs w:val="22"/>
          <w:rtl w:val="0"/>
          <w:lang w:val="pt-BR"/>
        </w:rPr>
        <w:t>Se nenhum dos fornecedores listados acima puder atender a um requisito específico, o Strategic Sourcing deve ser consultado para explorar opções alternativas.</w:t>
      </w:r>
    </w:p>
    <w:p w:rsidR="00AB0BFF" w:rsidP="0051357C" w14:paraId="6B94AC95" w14:textId="77777777">
      <w:pPr>
        <w:ind w:left="360"/>
        <w:rPr>
          <w:rFonts w:eastAsia="SimHei" w:asciiTheme="majorHAnsi" w:hAnsiTheme="majorHAnsi" w:cstheme="majorBidi"/>
          <w:sz w:val="22"/>
          <w:szCs w:val="22"/>
        </w:rPr>
      </w:pPr>
    </w:p>
    <w:p w:rsidR="008E0A00" w:rsidRPr="00A535B7" w:rsidP="004E717E" w14:paraId="3C280C95" w14:textId="79C35168">
      <w:pPr>
        <w:bidi w:val="0"/>
        <w:ind w:left="360"/>
        <w:jc w:val="both"/>
        <w:rPr>
          <w:rFonts w:eastAsia="SimHei"/>
          <w:b/>
          <w:bCs/>
          <w:sz w:val="22"/>
          <w:szCs w:val="22"/>
        </w:rPr>
      </w:pPr>
      <w:r w:rsidRPr="004E717E">
        <w:rPr>
          <w:rFonts w:eastAsia="SimHei" w:asciiTheme="majorHAnsi" w:hAnsiTheme="majorHAnsi" w:cstheme="majorBidi"/>
          <w:sz w:val="22"/>
          <w:szCs w:val="22"/>
          <w:rtl w:val="0"/>
          <w:lang w:val="pt-BR"/>
        </w:rPr>
        <w:t>Contratos locais e tabelas de preços foram negociados para os EUA, França e Holanda. Para outros países, entre em contato com a equipe local de Strategic Sourcing para ajudar na implementação desses fornecedores assim que surgir</w:t>
      </w:r>
      <w:r w:rsidRPr="00A535B7">
        <w:rPr>
          <w:rFonts w:eastAsia="SimHei" w:asciiTheme="majorHAnsi" w:hAnsiTheme="majorHAnsi" w:cstheme="majorBidi"/>
          <w:b/>
          <w:bCs/>
          <w:sz w:val="22"/>
          <w:szCs w:val="22"/>
          <w:rtl w:val="0"/>
          <w:lang w:val="pt-BR"/>
        </w:rPr>
        <w:t xml:space="preserve"> a necessidade de um Trabalhador Temporário. Como a Brink's está fazendo parceria com esses fornecedores como parte de um programa global para garantir preços preferenciais, é essencial que eles não estejam envolvidos em uma base ad-hoc localmente.</w:t>
      </w:r>
    </w:p>
    <w:p w:rsidR="003A1B39" w:rsidRPr="008E0A00" w:rsidP="003A1B39" w14:paraId="313A86F0" w14:textId="0478D16B">
      <w:pPr>
        <w:pStyle w:val="Heading2"/>
        <w:bidi w:val="0"/>
        <w:ind w:left="360"/>
        <w:rPr>
          <w:color w:val="auto"/>
          <w:sz w:val="22"/>
          <w:szCs w:val="22"/>
        </w:rPr>
      </w:pPr>
      <w:bookmarkStart w:id="29" w:name="_Toc256000015"/>
      <w:r w:rsidRPr="74515DB9">
        <w:rPr>
          <w:color w:val="auto"/>
          <w:sz w:val="22"/>
          <w:szCs w:val="22"/>
          <w:rtl w:val="0"/>
          <w:lang w:val="pt-BR"/>
        </w:rPr>
        <w:t>Engajando o Strategic Sourcing</w:t>
      </w:r>
      <w:bookmarkEnd w:id="29"/>
    </w:p>
    <w:p w:rsidR="4E9968A4" w:rsidP="4E9968A4" w14:paraId="5031B698" w14:textId="2C775788">
      <w:pPr>
        <w:bidi w:val="0"/>
        <w:spacing w:before="120" w:after="120"/>
        <w:jc w:val="both"/>
        <w:rPr>
          <w:rFonts w:asciiTheme="majorHAnsi" w:hAnsiTheme="majorHAnsi" w:cstheme="majorBidi"/>
          <w:sz w:val="22"/>
          <w:szCs w:val="22"/>
        </w:rPr>
      </w:pPr>
      <w:r w:rsidRPr="4E9968A4">
        <w:rPr>
          <w:rFonts w:asciiTheme="majorHAnsi" w:hAnsiTheme="majorHAnsi" w:cstheme="majorBidi"/>
          <w:sz w:val="22"/>
          <w:szCs w:val="22"/>
          <w:rtl w:val="0"/>
          <w:lang w:val="pt-BR"/>
        </w:rPr>
        <w:t>Quando um fornecedor preferencial não for capaz de atender aos requisitos da Parte Interessada de Negócios/Parceiro de RH, o Strategic Sourcing se envolverá para selecionar um fornecedor alternativo. O Strategic Sourcing seguirá as etapas abaixo:</w:t>
      </w:r>
    </w:p>
    <w:p w:rsidR="004A4C3B" w:rsidRPr="00B76DE1" w:rsidP="00FA438B" w14:paraId="49B073DD" w14:textId="6FE2C365">
      <w:pPr>
        <w:pStyle w:val="Heading3"/>
        <w:numPr>
          <w:ilvl w:val="0"/>
          <w:numId w:val="0"/>
        </w:numPr>
        <w:bidi w:val="0"/>
      </w:pPr>
      <w:r w:rsidRPr="00FA438B">
        <w:rPr>
          <w:noProof/>
          <w:color w:val="auto"/>
        </w:rPr>
        <w:drawing>
          <wp:anchor distT="0" distB="0" distL="114300" distR="114300" simplePos="0" relativeHeight="251659264" behindDoc="0" locked="0" layoutInCell="1" allowOverlap="1">
            <wp:simplePos x="0" y="0"/>
            <wp:positionH relativeFrom="column">
              <wp:posOffset>-60877</wp:posOffset>
            </wp:positionH>
            <wp:positionV relativeFrom="paragraph">
              <wp:posOffset>719317</wp:posOffset>
            </wp:positionV>
            <wp:extent cx="6583680" cy="2891790"/>
            <wp:effectExtent l="0" t="0" r="7620" b="3810"/>
            <wp:wrapTopAndBottom/>
            <wp:docPr id="162528377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3228" name="Picture 1" descr="A screenshot of a computer screen&#10;&#10;Description automatically generated"/>
                    <pic:cNvPicPr/>
                  </pic:nvPicPr>
                  <pic:blipFill>
                    <a:blip xmlns:r="http://schemas.openxmlformats.org/officeDocument/2006/relationships" r:embed="rId9"/>
                    <a:stretch>
                      <a:fillRect/>
                    </a:stretch>
                  </pic:blipFill>
                  <pic:spPr>
                    <a:xfrm>
                      <a:off x="0" y="0"/>
                      <a:ext cx="6583680" cy="2891790"/>
                    </a:xfrm>
                    <a:prstGeom prst="rect">
                      <a:avLst/>
                    </a:prstGeom>
                  </pic:spPr>
                </pic:pic>
              </a:graphicData>
            </a:graphic>
            <wp14:sizeRelH relativeFrom="margin">
              <wp14:pctWidth>0</wp14:pctWidth>
            </wp14:sizeRelH>
            <wp14:sizeRelV relativeFrom="margin">
              <wp14:pctHeight>0</wp14:pctHeight>
            </wp14:sizeRelV>
          </wp:anchor>
        </w:drawing>
      </w:r>
      <w:bookmarkStart w:id="30" w:name="_Toc179490789"/>
      <w:bookmarkStart w:id="31" w:name="_Toc179490895"/>
      <w:bookmarkStart w:id="32" w:name="_Toc179490967"/>
      <w:bookmarkStart w:id="33" w:name="_Toc179491282"/>
      <w:bookmarkStart w:id="34" w:name="_Toc179491323"/>
      <w:bookmarkStart w:id="35" w:name="_Toc179492949"/>
      <w:bookmarkStart w:id="36" w:name="_Toc179490790"/>
      <w:bookmarkStart w:id="37" w:name="_Toc179490896"/>
      <w:bookmarkStart w:id="38" w:name="_Toc179490968"/>
      <w:bookmarkStart w:id="39" w:name="_Toc179491283"/>
      <w:bookmarkStart w:id="40" w:name="_Toc179491324"/>
      <w:bookmarkStart w:id="41" w:name="_Toc179492950"/>
      <w:bookmarkStart w:id="42" w:name="_Toc179490791"/>
      <w:bookmarkStart w:id="43" w:name="_Toc179490897"/>
      <w:bookmarkStart w:id="44" w:name="_Toc179490969"/>
      <w:bookmarkStart w:id="45" w:name="_Toc179491284"/>
      <w:bookmarkStart w:id="46" w:name="_Toc179491325"/>
      <w:bookmarkStart w:id="47" w:name="_Toc179492951"/>
      <w:bookmarkStart w:id="48" w:name="_Toc179490792"/>
      <w:bookmarkStart w:id="49" w:name="_Toc179490898"/>
      <w:bookmarkStart w:id="50" w:name="_Toc179490970"/>
      <w:bookmarkStart w:id="51" w:name="_Toc179491285"/>
      <w:bookmarkStart w:id="52" w:name="_Toc179491326"/>
      <w:bookmarkStart w:id="53" w:name="_Toc179492952"/>
      <w:bookmarkStart w:id="54" w:name="_Toc179490793"/>
      <w:bookmarkStart w:id="55" w:name="_Toc179490899"/>
      <w:bookmarkStart w:id="56" w:name="_Toc179490971"/>
      <w:bookmarkStart w:id="57" w:name="_Toc179491286"/>
      <w:bookmarkStart w:id="58" w:name="_Toc179491327"/>
      <w:bookmarkStart w:id="59" w:name="_Toc179492953"/>
      <w:bookmarkStart w:id="60" w:name="_Toc179490794"/>
      <w:bookmarkStart w:id="61" w:name="_Toc179490900"/>
      <w:bookmarkStart w:id="62" w:name="_Toc179490972"/>
      <w:bookmarkStart w:id="63" w:name="_Toc179491287"/>
      <w:bookmarkStart w:id="64" w:name="_Toc179491328"/>
      <w:bookmarkStart w:id="65" w:name="_Toc179492954"/>
      <w:bookmarkStart w:id="66" w:name="_Toc179490795"/>
      <w:bookmarkStart w:id="67" w:name="_Toc179490901"/>
      <w:bookmarkStart w:id="68" w:name="_Toc179490973"/>
      <w:bookmarkStart w:id="69" w:name="_Toc179491288"/>
      <w:bookmarkStart w:id="70" w:name="_Toc179491329"/>
      <w:bookmarkStart w:id="71" w:name="_Toc179492955"/>
      <w:bookmarkStart w:id="72" w:name="_Toc179490796"/>
      <w:bookmarkStart w:id="73" w:name="_Toc179490902"/>
      <w:bookmarkStart w:id="74" w:name="_Toc179490974"/>
      <w:bookmarkStart w:id="75" w:name="_Toc179491289"/>
      <w:bookmarkStart w:id="76" w:name="_Toc179491330"/>
      <w:bookmarkStart w:id="77" w:name="_Toc179492956"/>
      <w:bookmarkStart w:id="78" w:name="_Toc179490797"/>
      <w:bookmarkStart w:id="79" w:name="_Toc179490903"/>
      <w:bookmarkStart w:id="80" w:name="_Toc179490975"/>
      <w:bookmarkStart w:id="81" w:name="_Toc179491290"/>
      <w:bookmarkStart w:id="82" w:name="_Toc179491331"/>
      <w:bookmarkStart w:id="83" w:name="_Toc17949295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Toc256000016"/>
      <w:r w:rsidRPr="00FA438B" w:rsidR="00141344">
        <w:rPr>
          <w:color w:val="auto"/>
          <w:rtl w:val="0"/>
          <w:lang w:val="pt-BR"/>
        </w:rPr>
        <w:t>Engajando Trabalhadores Temporários</w:t>
      </w:r>
      <w:bookmarkEnd w:id="84"/>
    </w:p>
    <w:p w:rsidR="003464B7" w:rsidRPr="0051357C" w:rsidP="0051357C" w14:paraId="2231FAC3" w14:textId="77777777">
      <w:pPr>
        <w:rPr>
          <w:rFonts w:eastAsiaTheme="majorEastAsia"/>
        </w:rPr>
      </w:pPr>
    </w:p>
    <w:p w:rsidR="00851A67" w:rsidRPr="006E53F7" w:rsidP="00851A67" w14:paraId="1CFFF01C" w14:textId="06E30D0C">
      <w:pPr>
        <w:bidi w:val="0"/>
        <w:jc w:val="both"/>
        <w:rPr>
          <w:rFonts w:asciiTheme="majorHAnsi" w:hAnsiTheme="majorHAnsi" w:cstheme="majorBidi"/>
          <w:sz w:val="22"/>
          <w:szCs w:val="22"/>
        </w:rPr>
      </w:pPr>
      <w:r w:rsidRPr="0051357C">
        <w:rPr>
          <w:rFonts w:asciiTheme="majorHAnsi" w:hAnsiTheme="majorHAnsi" w:cstheme="majorBidi"/>
          <w:sz w:val="22"/>
          <w:szCs w:val="22"/>
          <w:rtl w:val="0"/>
          <w:lang w:val="pt-BR"/>
        </w:rPr>
        <w:t xml:space="preserve">As seguintes regras e conjunto de instruções são aplicáveis quando os gerentes de contratação desejam contratar trabalhadores </w:t>
      </w:r>
      <w:r w:rsidR="00C20CDD">
        <w:rPr>
          <w:rFonts w:asciiTheme="majorHAnsi" w:hAnsiTheme="majorHAnsi" w:cstheme="majorBidi"/>
          <w:i/>
          <w:sz w:val="22"/>
          <w:szCs w:val="22"/>
          <w:rtl w:val="0"/>
          <w:lang w:val="pt-BR"/>
        </w:rPr>
        <w:t>temporários.</w:t>
      </w:r>
      <w:r w:rsidRPr="0051357C">
        <w:rPr>
          <w:rFonts w:asciiTheme="majorHAnsi" w:hAnsiTheme="majorHAnsi" w:cstheme="majorBidi"/>
          <w:sz w:val="22"/>
          <w:szCs w:val="22"/>
          <w:rtl w:val="0"/>
          <w:lang w:val="pt-BR"/>
        </w:rPr>
        <w:t xml:space="preserve"> Por exemplo, contratar um trabalhador temporário por 6 meses enquanto um funcionário permanente está em licença prolongada. </w:t>
      </w:r>
    </w:p>
    <w:p w:rsidR="006E53F7" w:rsidRPr="0051357C" w:rsidP="6B3824FD" w14:paraId="4D5A0B17" w14:textId="77777777">
      <w:pPr>
        <w:pStyle w:val="Heading3"/>
        <w:numPr>
          <w:ilvl w:val="0"/>
          <w:numId w:val="0"/>
        </w:numPr>
        <w:bidi w:val="0"/>
        <w:jc w:val="both"/>
        <w:rPr>
          <w:i/>
          <w:iCs/>
          <w:color w:val="auto"/>
          <w:sz w:val="22"/>
          <w:szCs w:val="22"/>
        </w:rPr>
      </w:pPr>
      <w:bookmarkStart w:id="85" w:name="_Toc64992975"/>
      <w:bookmarkStart w:id="86" w:name="_Toc256000017"/>
      <w:r w:rsidRPr="6B3824FD">
        <w:rPr>
          <w:i/>
          <w:iCs/>
          <w:color w:val="auto"/>
          <w:sz w:val="22"/>
          <w:szCs w:val="22"/>
          <w:rtl w:val="0"/>
          <w:lang w:val="pt-BR"/>
        </w:rPr>
        <w:t>Aprovação para recrutar</w:t>
      </w:r>
      <w:bookmarkEnd w:id="86"/>
      <w:bookmarkEnd w:id="85"/>
    </w:p>
    <w:p w:rsidR="006E53F7" w:rsidRPr="006E53F7" w:rsidP="6B3824FD" w14:paraId="410F6F59" w14:textId="54F7DB15">
      <w:pPr>
        <w:bidi w:val="0"/>
        <w:rPr>
          <w:b/>
          <w:bCs/>
        </w:rPr>
      </w:pPr>
      <w:r w:rsidRPr="6B3824FD">
        <w:rPr>
          <w:rFonts w:asciiTheme="majorHAnsi" w:hAnsiTheme="majorHAnsi" w:cstheme="majorBidi"/>
          <w:sz w:val="22"/>
          <w:szCs w:val="22"/>
          <w:rtl w:val="0"/>
          <w:lang w:val="pt-BR"/>
        </w:rPr>
        <w:t xml:space="preserve">Todas as novas solicitações de Trabalhador Temporário exigem a aprovação do Parceiro de Negócios de RH. É responsabilidade do Parceiro de Negócios de RH garantir que todos os novos compromissos estejam em conformidade com esta política e trabalhar com o Strategic Sourcing, se necessário. </w:t>
      </w:r>
    </w:p>
    <w:p w:rsidR="00851A67" w:rsidRPr="0051357C" w:rsidP="6B3824FD" w14:paraId="21AB2922" w14:textId="77777777">
      <w:pPr>
        <w:pStyle w:val="Heading3"/>
        <w:numPr>
          <w:ilvl w:val="0"/>
          <w:numId w:val="0"/>
        </w:numPr>
        <w:bidi w:val="0"/>
        <w:jc w:val="both"/>
        <w:rPr>
          <w:rFonts w:eastAsia="Calibri"/>
          <w:i/>
          <w:iCs/>
          <w:color w:val="auto"/>
          <w:sz w:val="22"/>
          <w:szCs w:val="22"/>
          <w:lang w:eastAsia="nl-NL" w:bidi="nl-NL"/>
        </w:rPr>
      </w:pPr>
      <w:bookmarkStart w:id="87" w:name="_Toc64992960"/>
      <w:bookmarkStart w:id="88" w:name="_Toc256000018"/>
      <w:r w:rsidRPr="6B3824FD">
        <w:rPr>
          <w:rFonts w:eastAsia="Calibri"/>
          <w:i/>
          <w:iCs/>
          <w:color w:val="auto"/>
          <w:sz w:val="22"/>
          <w:szCs w:val="22"/>
          <w:rtl w:val="0"/>
          <w:lang w:val="pt-BR" w:eastAsia="nl-NL" w:bidi="nl-NL"/>
        </w:rPr>
        <w:t>Duração da Tarefa</w:t>
      </w:r>
      <w:bookmarkEnd w:id="88"/>
      <w:bookmarkEnd w:id="87"/>
    </w:p>
    <w:p w:rsidR="00851A67" w:rsidRPr="0051357C" w:rsidP="6B3824FD" w14:paraId="7881A5C7" w14:textId="25EE0757">
      <w:pPr>
        <w:bidi w:val="0"/>
        <w:jc w:val="both"/>
        <w:rPr>
          <w:rFonts w:eastAsia="Calibri" w:asciiTheme="majorHAnsi" w:hAnsiTheme="majorHAnsi" w:cstheme="majorBidi"/>
          <w:sz w:val="22"/>
          <w:szCs w:val="22"/>
          <w:lang w:eastAsia="nl-NL" w:bidi="nl-NL"/>
        </w:rPr>
      </w:pPr>
      <w:r w:rsidRPr="6B3824FD">
        <w:rPr>
          <w:rFonts w:asciiTheme="majorHAnsi" w:hAnsiTheme="majorHAnsi" w:cstheme="majorBidi"/>
          <w:sz w:val="22"/>
          <w:szCs w:val="22"/>
          <w:rtl w:val="0"/>
          <w:lang w:val="pt-BR" w:eastAsia="nl-NL" w:bidi="nl-NL"/>
        </w:rPr>
        <w:t>A duração de uma tarefa não deve exceder mais de 12 meses corridos. O parceiro de negócios de RH local é responsável por acompanhar os contratos expirados.</w:t>
      </w:r>
    </w:p>
    <w:p w:rsidR="00851A67" w:rsidRPr="0051357C" w:rsidP="0051357C" w14:paraId="20C1CC90" w14:textId="2797B27E">
      <w:pPr>
        <w:pStyle w:val="Heading3"/>
        <w:numPr>
          <w:ilvl w:val="0"/>
          <w:numId w:val="0"/>
        </w:numPr>
        <w:bidi w:val="0"/>
        <w:jc w:val="both"/>
        <w:rPr>
          <w:rFonts w:eastAsia="Calibri"/>
          <w:i/>
          <w:iCs/>
          <w:color w:val="auto"/>
          <w:sz w:val="22"/>
          <w:szCs w:val="22"/>
          <w:lang w:eastAsia="nl-NL" w:bidi="nl-NL"/>
        </w:rPr>
      </w:pPr>
      <w:bookmarkStart w:id="89" w:name="_Toc64992961"/>
      <w:bookmarkStart w:id="90" w:name="_Toc256000019"/>
      <w:r w:rsidRPr="0051357C">
        <w:rPr>
          <w:rFonts w:eastAsia="Calibri"/>
          <w:i/>
          <w:iCs/>
          <w:color w:val="auto"/>
          <w:sz w:val="22"/>
          <w:szCs w:val="22"/>
          <w:rtl w:val="0"/>
          <w:lang w:val="pt-BR" w:eastAsia="nl-NL" w:bidi="nl-NL"/>
        </w:rPr>
        <w:t>Extensões de Atribuição</w:t>
      </w:r>
      <w:bookmarkEnd w:id="90"/>
      <w:bookmarkEnd w:id="89"/>
    </w:p>
    <w:p w:rsidR="00851A67" w:rsidRPr="0051357C" w:rsidP="6B3824FD" w14:paraId="45D18129" w14:textId="439C9390">
      <w:pPr>
        <w:bidi w:val="0"/>
        <w:jc w:val="both"/>
        <w:rPr>
          <w:rFonts w:asciiTheme="majorHAnsi" w:hAnsiTheme="majorHAnsi" w:cstheme="majorBidi"/>
          <w:sz w:val="22"/>
          <w:szCs w:val="22"/>
          <w:lang w:eastAsia="nl-NL" w:bidi="nl-NL"/>
        </w:rPr>
      </w:pPr>
      <w:r w:rsidRPr="6B3824FD">
        <w:rPr>
          <w:rFonts w:asciiTheme="majorHAnsi" w:hAnsiTheme="majorHAnsi" w:cstheme="majorBidi"/>
          <w:sz w:val="22"/>
          <w:szCs w:val="22"/>
          <w:rtl w:val="0"/>
          <w:lang w:val="pt-BR" w:eastAsia="nl-NL" w:bidi="nl-NL"/>
        </w:rPr>
        <w:t>Qualquer atribuição pode ser estendida além de 12 meses corridos, obtendo aprovação formal do VP / SVP Regional de Recursos Humanos e do Conselho Geral Regional.  Em alguns países, o número de extensões possíveis é limitado. Nesses cenários, siga a legislação local e entre em contato com o parceiro de negócios de RH local.</w:t>
      </w:r>
    </w:p>
    <w:p w:rsidR="00851A67" w:rsidRPr="0051357C" w:rsidP="0051357C" w14:paraId="7F702D9D" w14:textId="77777777">
      <w:pPr>
        <w:pStyle w:val="Heading3"/>
        <w:numPr>
          <w:ilvl w:val="0"/>
          <w:numId w:val="0"/>
        </w:numPr>
        <w:bidi w:val="0"/>
        <w:jc w:val="both"/>
        <w:rPr>
          <w:rFonts w:eastAsia="Calibri"/>
          <w:i/>
          <w:iCs/>
          <w:color w:val="auto"/>
          <w:sz w:val="22"/>
          <w:szCs w:val="22"/>
          <w:lang w:eastAsia="nl-NL" w:bidi="nl-NL"/>
        </w:rPr>
      </w:pPr>
      <w:bookmarkStart w:id="91" w:name="_Toc64992962"/>
      <w:bookmarkStart w:id="92" w:name="_Toc256000020"/>
      <w:r w:rsidRPr="0051357C">
        <w:rPr>
          <w:rFonts w:eastAsia="Calibri"/>
          <w:i/>
          <w:iCs/>
          <w:color w:val="auto"/>
          <w:sz w:val="22"/>
          <w:szCs w:val="22"/>
          <w:rtl w:val="0"/>
          <w:lang w:val="pt-BR" w:eastAsia="nl-NL" w:bidi="nl-NL"/>
        </w:rPr>
        <w:t>Período de separação do tempo de permanência do trabalhador</w:t>
      </w:r>
      <w:bookmarkEnd w:id="92"/>
      <w:bookmarkEnd w:id="91"/>
    </w:p>
    <w:p w:rsidR="00D011F3" w:rsidRPr="0051357C" w:rsidP="0051357C" w14:paraId="3068D38B" w14:textId="70D9A77E">
      <w:pPr>
        <w:bidi w:val="0"/>
        <w:jc w:val="both"/>
        <w:rPr>
          <w:rFonts w:asciiTheme="majorHAnsi" w:hAnsiTheme="majorHAnsi" w:cstheme="majorBidi"/>
          <w:sz w:val="22"/>
          <w:szCs w:val="22"/>
          <w:lang w:eastAsia="nl-NL" w:bidi="nl-NL"/>
        </w:rPr>
      </w:pPr>
      <w:r>
        <w:rPr>
          <w:rFonts w:asciiTheme="majorHAnsi" w:hAnsiTheme="majorHAnsi" w:cstheme="majorBidi"/>
          <w:sz w:val="22"/>
          <w:szCs w:val="22"/>
          <w:rtl w:val="0"/>
          <w:lang w:val="pt-BR" w:eastAsia="nl-NL" w:bidi="nl-NL"/>
        </w:rPr>
        <w:t>Sujeito à lei aplicável, se a pausa de 3 meses for dispensada, é necessária consulta jurídica prévia e alinhamento. É importante observar que o limite de 24 meses se aplica ao tempo total de permanência do trabalhador na Brink's, não à duração de atribuições individuais. Portanto, o tempo entre a data inicial de início do trabalhador na Brink's e qualquer extensão potencial não pode exceder 24 meses no total. Por exemplo, se um Trabalhador Temporário for contratado para três atribuições consecutivas, cada uma com duração de 8 meses, o tempo de permanência acumulado chegará a 24 meses. Nesse caso, o trabalhador não deve estender, mesmo que a nova atribuição seja para um projeto ou requisito diferente.</w:t>
      </w:r>
    </w:p>
    <w:p w:rsidR="00851A67" w:rsidRPr="0051357C" w:rsidP="0051357C" w14:paraId="3F602256" w14:textId="77777777">
      <w:pPr>
        <w:pStyle w:val="Heading3"/>
        <w:numPr>
          <w:ilvl w:val="0"/>
          <w:numId w:val="0"/>
        </w:numPr>
        <w:bidi w:val="0"/>
        <w:jc w:val="both"/>
        <w:rPr>
          <w:rFonts w:eastAsia="Calibri"/>
          <w:i/>
          <w:iCs/>
          <w:color w:val="auto"/>
          <w:sz w:val="22"/>
          <w:szCs w:val="22"/>
          <w:lang w:eastAsia="nl-NL" w:bidi="nl-NL"/>
        </w:rPr>
      </w:pPr>
      <w:bookmarkStart w:id="93" w:name="_Toc256000021"/>
      <w:r w:rsidRPr="0051357C">
        <w:rPr>
          <w:rFonts w:eastAsia="Calibri"/>
          <w:i/>
          <w:iCs/>
          <w:color w:val="auto"/>
          <w:sz w:val="22"/>
          <w:szCs w:val="22"/>
          <w:rtl w:val="0"/>
          <w:lang w:val="pt-BR" w:eastAsia="nl-NL" w:bidi="nl-NL"/>
        </w:rPr>
        <w:t>Horas extras de atribuição</w:t>
      </w:r>
      <w:bookmarkEnd w:id="93"/>
    </w:p>
    <w:p w:rsidR="00851A67" w:rsidRPr="0051357C" w:rsidP="6B3824FD" w14:paraId="60E97CD5" w14:textId="53532CEB">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pt-BR" w:eastAsia="nl-NL" w:bidi="nl-NL"/>
        </w:rPr>
        <w:t xml:space="preserve">Trabalhar horas extras (ou mais do que as horas acordadas) não é permitido e não será compensado sem a aprovação do líder de negócios relevante da Brink's para todos os trabalhadores do conhecimento contingentes, a menos que a compensação por horas trabalhadas não autorizadas seja exigida pela lei aplicável. </w:t>
      </w:r>
    </w:p>
    <w:p w:rsidR="00851A67" w:rsidRPr="0051357C" w:rsidP="0051357C" w14:paraId="7866D736" w14:textId="77777777">
      <w:pPr>
        <w:pStyle w:val="Heading3"/>
        <w:numPr>
          <w:ilvl w:val="0"/>
          <w:numId w:val="0"/>
        </w:numPr>
        <w:bidi w:val="0"/>
        <w:jc w:val="both"/>
        <w:rPr>
          <w:rFonts w:eastAsia="Calibri"/>
          <w:i/>
          <w:iCs/>
          <w:color w:val="auto"/>
          <w:sz w:val="22"/>
          <w:szCs w:val="22"/>
          <w:lang w:eastAsia="nl-NL" w:bidi="nl-NL"/>
        </w:rPr>
      </w:pPr>
      <w:bookmarkStart w:id="94" w:name="_Toc64992964"/>
      <w:bookmarkStart w:id="95" w:name="_Toc256000022"/>
      <w:r w:rsidRPr="0051357C">
        <w:rPr>
          <w:rFonts w:eastAsia="Calibri"/>
          <w:i/>
          <w:iCs/>
          <w:color w:val="auto"/>
          <w:sz w:val="22"/>
          <w:szCs w:val="22"/>
          <w:rtl w:val="0"/>
          <w:lang w:val="pt-BR" w:eastAsia="nl-NL" w:bidi="nl-NL"/>
        </w:rPr>
        <w:t>Licença</w:t>
      </w:r>
      <w:bookmarkEnd w:id="95"/>
      <w:bookmarkEnd w:id="94"/>
    </w:p>
    <w:p w:rsidR="00851A67" w:rsidRPr="0051357C" w:rsidP="00851A67" w14:paraId="0C269785" w14:textId="137C1A18">
      <w:pPr>
        <w:bidi w:val="0"/>
        <w:jc w:val="both"/>
        <w:rPr>
          <w:rFonts w:eastAsia="Calibri" w:asciiTheme="majorHAnsi" w:hAnsiTheme="majorHAnsi" w:cstheme="majorBidi"/>
          <w:sz w:val="22"/>
          <w:szCs w:val="22"/>
          <w:lang w:eastAsia="nl-NL" w:bidi="nl-NL"/>
        </w:rPr>
      </w:pPr>
      <w:r w:rsidRPr="0051357C">
        <w:rPr>
          <w:rFonts w:eastAsia="Calibri" w:asciiTheme="majorHAnsi" w:hAnsiTheme="majorHAnsi" w:cstheme="majorBidi"/>
          <w:sz w:val="22"/>
          <w:szCs w:val="22"/>
          <w:rtl w:val="0"/>
          <w:lang w:val="pt-BR" w:eastAsia="nl-NL" w:bidi="nl-NL"/>
        </w:rPr>
        <w:t xml:space="preserve">A licença é aplicável a todos os Trabalhadores do Conhecimento contingentes de acordo com a legislação local. </w:t>
      </w:r>
    </w:p>
    <w:p w:rsidR="00DE1765" w:rsidP="0051357C" w14:paraId="30031C7C" w14:textId="67448CDB">
      <w:pPr>
        <w:pStyle w:val="Heading3"/>
        <w:numPr>
          <w:ilvl w:val="0"/>
          <w:numId w:val="0"/>
        </w:numPr>
        <w:bidi w:val="0"/>
        <w:jc w:val="both"/>
        <w:rPr>
          <w:lang w:eastAsia="nl-NL" w:bidi="nl-NL"/>
        </w:rPr>
      </w:pPr>
      <w:bookmarkStart w:id="96" w:name="_Toc256000023"/>
      <w:r>
        <w:rPr>
          <w:rFonts w:eastAsia="Calibri"/>
          <w:i/>
          <w:iCs/>
          <w:color w:val="auto"/>
          <w:sz w:val="22"/>
          <w:szCs w:val="22"/>
          <w:rtl w:val="0"/>
          <w:lang w:val="pt-BR" w:eastAsia="nl-NL" w:bidi="nl-NL"/>
        </w:rPr>
        <w:t>Contratações Indicadas</w:t>
      </w:r>
      <w:bookmarkEnd w:id="96"/>
    </w:p>
    <w:p w:rsidR="00851A67" w:rsidRPr="0051357C" w:rsidP="6B3824FD" w14:paraId="46CF149F" w14:textId="1FC8BDA3">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pt-BR" w:eastAsia="nl-NL" w:bidi="nl-NL"/>
        </w:rPr>
        <w:t>A prática de um funcionário da Brink's indicar contratações externas - onde um trabalhador externo específico é selecionado para o emprego sem passar por um processo de seleção competitivo - é estritamente proibida. A Brink's é um empregador de oportunidades iguais. Essa política garante que as decisões de contratação sejam tomadas de forma transparente e justa, permitindo que todos os candidatos em potencial tenham oportunidades iguais de competir por cargos. Também mitiga os riscos associados ao favoritismo, reduz a probabilidade de não conformidade com as políticas internas e se alinha aos padrões da empresa para justiça e custo-benefício na equipe. Em casos excepcionais em que uma contratação indicada é considerada necessária - como quando um candidato possui habilidades únicas ou experiência crítica para um projeto - a justificativa adequada deve ser fornecida. Quaisquer exceções exigem a aprovação do VP/Vice-Presidente Sênior de Recursos Humanos para garantir que a decisão de contratação esteja alinhada com as metas organizacionais mais amplas e em conformidade com as políticas de compras. Somente após receber essas aprovações o processo de recrutamento pode prosseguir com o indivíduo nomeado.</w:t>
      </w:r>
    </w:p>
    <w:p w:rsidR="00851A67" w:rsidRPr="0051357C" w:rsidP="0051357C" w14:paraId="11570396" w14:textId="77777777">
      <w:pPr>
        <w:pStyle w:val="Heading3"/>
        <w:numPr>
          <w:ilvl w:val="0"/>
          <w:numId w:val="0"/>
        </w:numPr>
        <w:bidi w:val="0"/>
        <w:jc w:val="both"/>
        <w:rPr>
          <w:rFonts w:eastAsia="Calibri"/>
          <w:i/>
          <w:iCs/>
          <w:color w:val="auto"/>
          <w:sz w:val="22"/>
          <w:szCs w:val="22"/>
          <w:lang w:eastAsia="nl-NL" w:bidi="nl-NL"/>
        </w:rPr>
      </w:pPr>
      <w:bookmarkStart w:id="97" w:name="_Toc256000024"/>
      <w:r w:rsidRPr="0051357C">
        <w:rPr>
          <w:rFonts w:eastAsia="Calibri"/>
          <w:i/>
          <w:iCs/>
          <w:color w:val="auto"/>
          <w:sz w:val="22"/>
          <w:szCs w:val="22"/>
          <w:rtl w:val="0"/>
          <w:lang w:val="pt-BR" w:eastAsia="nl-NL" w:bidi="nl-NL"/>
        </w:rPr>
        <w:t>Despesas e Reembolsos</w:t>
      </w:r>
      <w:bookmarkEnd w:id="97"/>
    </w:p>
    <w:p w:rsidR="00851A67" w:rsidRPr="0051357C" w:rsidP="00851A67" w14:paraId="4960368C" w14:textId="7BEF30A3">
      <w:pPr>
        <w:bidi w:val="0"/>
        <w:jc w:val="both"/>
        <w:rPr>
          <w:rFonts w:eastAsia="Calibri" w:asciiTheme="majorHAnsi" w:hAnsiTheme="majorHAnsi" w:cstheme="majorBidi"/>
          <w:sz w:val="22"/>
          <w:szCs w:val="22"/>
          <w:lang w:eastAsia="nl-NL" w:bidi="nl-NL"/>
        </w:rPr>
      </w:pPr>
      <w:r w:rsidRPr="3766A6B7">
        <w:rPr>
          <w:rFonts w:eastAsia="Calibri" w:asciiTheme="majorHAnsi" w:hAnsiTheme="majorHAnsi" w:cstheme="majorBidi"/>
          <w:sz w:val="22"/>
          <w:szCs w:val="22"/>
          <w:rtl w:val="0"/>
          <w:lang w:val="pt-BR" w:eastAsia="nl-NL" w:bidi="nl-NL"/>
        </w:rPr>
        <w:t xml:space="preserve">As despesas e reembolsos das despesas devem estar alinhados com a política de viagens da Brink's: </w:t>
      </w:r>
      <w:hyperlink r:id="rId10" w:history="1">
        <w:r w:rsidRPr="00B96659" w:rsidR="00B96659">
          <w:rPr>
            <w:rStyle w:val="Hyperlink"/>
            <w:rFonts w:eastAsia="Calibri" w:asciiTheme="majorHAnsi" w:hAnsiTheme="majorHAnsi" w:cstheme="majorBidi"/>
            <w:sz w:val="22"/>
            <w:szCs w:val="22"/>
            <w:rtl w:val="0"/>
            <w:lang w:val="pt-BR" w:eastAsia="nl-NL" w:bidi="nl-NL"/>
          </w:rPr>
          <w:t>Brinks Global Travel and Expense - Home</w:t>
        </w:r>
      </w:hyperlink>
      <w:r w:rsidRPr="3766A6B7">
        <w:rPr>
          <w:rFonts w:eastAsia="Calibri" w:asciiTheme="majorHAnsi" w:hAnsiTheme="majorHAnsi" w:cstheme="majorBidi"/>
          <w:sz w:val="22"/>
          <w:szCs w:val="22"/>
          <w:rtl w:val="0"/>
          <w:lang w:val="pt-BR" w:eastAsia="nl-NL" w:bidi="nl-NL"/>
        </w:rPr>
        <w:t xml:space="preserve">. </w:t>
      </w:r>
    </w:p>
    <w:p w:rsidR="0059487B" w:rsidP="0051357C" w14:paraId="547A0D5C" w14:textId="3FC863FA">
      <w:pPr>
        <w:pStyle w:val="Heading3"/>
        <w:numPr>
          <w:ilvl w:val="0"/>
          <w:numId w:val="0"/>
        </w:numPr>
        <w:bidi w:val="0"/>
        <w:jc w:val="both"/>
        <w:rPr>
          <w:lang w:eastAsia="nl-NL" w:bidi="nl-NL"/>
        </w:rPr>
      </w:pPr>
      <w:bookmarkStart w:id="98" w:name="_Toc64992969"/>
      <w:bookmarkStart w:id="99" w:name="_Toc256000025"/>
      <w:r w:rsidRPr="0051357C">
        <w:rPr>
          <w:rFonts w:eastAsia="Calibri"/>
          <w:i/>
          <w:iCs/>
          <w:color w:val="auto"/>
          <w:sz w:val="22"/>
          <w:szCs w:val="22"/>
          <w:rtl w:val="0"/>
          <w:lang w:val="pt-BR" w:eastAsia="nl-NL" w:bidi="nl-NL"/>
        </w:rPr>
        <w:t>Gestão de Riscos</w:t>
      </w:r>
      <w:bookmarkEnd w:id="99"/>
      <w:bookmarkEnd w:id="98"/>
      <w:r w:rsidRPr="0051357C">
        <w:rPr>
          <w:rFonts w:eastAsia="Calibri"/>
          <w:i/>
          <w:iCs/>
          <w:color w:val="auto"/>
          <w:sz w:val="22"/>
          <w:szCs w:val="22"/>
          <w:rtl w:val="0"/>
          <w:lang w:val="pt-BR" w:eastAsia="nl-NL" w:bidi="nl-NL"/>
        </w:rPr>
        <w:t xml:space="preserve"> </w:t>
      </w:r>
      <w:bookmarkStart w:id="100" w:name="_Hlk63364643"/>
    </w:p>
    <w:p w:rsidR="0059487B" w:rsidP="0051357C" w14:paraId="52B8FA40" w14:textId="2CCC96FC">
      <w:pPr>
        <w:bidi w:val="0"/>
        <w:jc w:val="both"/>
        <w:rPr>
          <w:rFonts w:eastAsia="Calibri" w:asciiTheme="majorHAnsi" w:hAnsiTheme="majorHAnsi" w:cstheme="majorBidi"/>
          <w:sz w:val="22"/>
          <w:szCs w:val="22"/>
          <w:lang w:val="en-GB" w:eastAsia="nl-NL" w:bidi="nl-NL"/>
        </w:rPr>
      </w:pPr>
      <w:r w:rsidRPr="0059487B">
        <w:rPr>
          <w:rFonts w:eastAsia="Calibri" w:asciiTheme="majorHAnsi" w:hAnsiTheme="majorHAnsi" w:cstheme="majorBidi"/>
          <w:sz w:val="22"/>
          <w:szCs w:val="22"/>
          <w:rtl w:val="0"/>
          <w:lang w:val="pt-BR" w:eastAsia="nl-NL" w:bidi="nl-NL"/>
        </w:rPr>
        <w:t>O co-emprego surge quando uma empresa, como a Brink's, toma certas ações em relação aos Qorkers Contingentes que confundem a linha entre contratado e funcionário. Essas ações incluem, mas não estão limitadas a, revisões de salários e benefícios, aconselhamento de desempenho, entrevistas, participação em reuniões de liderança, prefeituras, comemorações ou rescisão do contrato de trabalho. Nesses casos, a Brink's pode ser considerada o "co-empregador" legal do trabalhador temporário, apesar de não empregar diretamente o indivíduo, o que pode expor a empresa a riscos legais significativos, incluindo reivindicações de benefícios a funcionários e direitos trabalhistas.</w:t>
      </w:r>
    </w:p>
    <w:p w:rsidR="0059487B" w:rsidRPr="0059487B" w:rsidP="0059487B" w14:paraId="47983B7D" w14:textId="77777777">
      <w:pPr>
        <w:ind w:firstLine="720"/>
        <w:jc w:val="both"/>
        <w:rPr>
          <w:rFonts w:eastAsia="Calibri" w:asciiTheme="majorHAnsi" w:hAnsiTheme="majorHAnsi" w:cstheme="majorBidi"/>
          <w:sz w:val="22"/>
          <w:szCs w:val="22"/>
          <w:lang w:val="en-GB" w:eastAsia="nl-NL" w:bidi="nl-NL"/>
        </w:rPr>
      </w:pPr>
    </w:p>
    <w:p w:rsidR="0059487B" w:rsidP="00703DC3" w14:paraId="1D65389A" w14:textId="3FC91744">
      <w:pPr>
        <w:bidi w:val="0"/>
        <w:spacing w:line="259" w:lineRule="auto"/>
        <w:jc w:val="both"/>
        <w:rPr>
          <w:rFonts w:ascii="Calibri" w:eastAsia="Calibri" w:hAnsi="Calibri" w:cs="Calibri"/>
          <w:sz w:val="22"/>
          <w:szCs w:val="22"/>
          <w:lang w:val="en-GB"/>
        </w:rPr>
      </w:pPr>
      <w:r w:rsidRPr="4E9968A4">
        <w:rPr>
          <w:rFonts w:eastAsia="Calibri" w:asciiTheme="majorHAnsi" w:hAnsiTheme="majorHAnsi" w:cstheme="majorBidi"/>
          <w:sz w:val="22"/>
          <w:szCs w:val="22"/>
          <w:rtl w:val="0"/>
          <w:lang w:val="pt-BR" w:eastAsia="nl-NL" w:bidi="nl-NL"/>
        </w:rPr>
        <w:t>É crucial evitar tratar os trabalhadores temporários como se fossem funcionários permanentes ou temporários. Envolvê-los em atividades como reuniões de equipe, eventos de liderança ou programas focados no funcionário pode levar a reivindicações legais de emprego de fato, principalmente em países com regulamentações trabalhistas rígidas.</w:t>
      </w:r>
    </w:p>
    <w:p w:rsidR="00F947C3" w:rsidP="00023788" w14:paraId="76AE4830" w14:textId="77777777">
      <w:pPr>
        <w:jc w:val="both"/>
        <w:rPr>
          <w:rFonts w:eastAsia="Calibri" w:asciiTheme="majorHAnsi" w:hAnsiTheme="majorHAnsi" w:cstheme="majorBidi"/>
          <w:sz w:val="22"/>
          <w:szCs w:val="22"/>
          <w:lang w:val="en-GB" w:eastAsia="nl-NL" w:bidi="nl-NL"/>
        </w:rPr>
      </w:pPr>
    </w:p>
    <w:p w:rsidR="00F947C3" w:rsidP="0051357C" w14:paraId="6BF39635" w14:textId="0CBECB94">
      <w:pPr>
        <w:bidi w:val="0"/>
        <w:ind w:firstLine="360"/>
        <w:jc w:val="both"/>
        <w:rPr>
          <w:rFonts w:eastAsia="Calibri" w:asciiTheme="majorHAnsi" w:hAnsiTheme="majorHAnsi" w:cstheme="majorBidi"/>
          <w:sz w:val="22"/>
          <w:szCs w:val="22"/>
          <w:u w:val="single"/>
          <w:lang w:val="en-GB" w:eastAsia="nl-NL" w:bidi="nl-NL"/>
        </w:rPr>
      </w:pPr>
      <w:r w:rsidRPr="0051357C">
        <w:rPr>
          <w:rFonts w:eastAsia="Calibri" w:asciiTheme="majorHAnsi" w:hAnsiTheme="majorHAnsi" w:cstheme="majorBidi"/>
          <w:sz w:val="22"/>
          <w:szCs w:val="22"/>
          <w:u w:val="single"/>
          <w:rtl w:val="0"/>
          <w:lang w:val="pt-BR" w:eastAsia="nl-NL" w:bidi="nl-NL"/>
        </w:rPr>
        <w:t>Como mitigar o risco de co-emprego:</w:t>
      </w:r>
    </w:p>
    <w:p w:rsidR="00786AC3" w:rsidRPr="0051357C" w:rsidP="0051357C" w14:paraId="4EF0A94F" w14:textId="77777777">
      <w:pPr>
        <w:ind w:firstLine="360"/>
        <w:jc w:val="both"/>
        <w:rPr>
          <w:rFonts w:eastAsia="Calibri" w:asciiTheme="majorHAnsi" w:hAnsiTheme="majorHAnsi" w:cstheme="majorBidi"/>
          <w:sz w:val="22"/>
          <w:szCs w:val="22"/>
          <w:u w:val="single"/>
          <w:lang w:val="en-GB" w:eastAsia="nl-NL" w:bidi="nl-NL"/>
        </w:rPr>
      </w:pPr>
    </w:p>
    <w:p w:rsidR="007A1771" w:rsidRPr="0051357C" w:rsidP="00D20217" w14:paraId="1F8FF5CA" w14:textId="77777777">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pt-BR" w:eastAsia="nl-NL" w:bidi="nl-NL"/>
        </w:rPr>
        <w:t>Nenhuma atribuição deve se estender além de 12 meses.</w:t>
      </w:r>
    </w:p>
    <w:p w:rsidR="007A1771" w:rsidRPr="0051357C" w:rsidP="00D20217" w14:paraId="70D5155B" w14:textId="208E5DC0">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pt-BR" w:eastAsia="nl-NL" w:bidi="nl-NL"/>
        </w:rPr>
        <w:t>O trabalho temporário contratado por meio de uma agência de trabalho temporário deve ser entrevistado pela agência.</w:t>
      </w:r>
    </w:p>
    <w:p w:rsidR="007A1771" w:rsidRPr="0051357C" w:rsidP="00D20217" w14:paraId="39A12F22" w14:textId="77777777">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pt-BR" w:eastAsia="nl-NL" w:bidi="nl-NL"/>
        </w:rPr>
        <w:t>As agências que fornecem mão de obra temporária devem gerenciar todos os assuntos relacionados a pagamento, férias, folga, licença médica, desempenho e desenvolvimento de carreira.</w:t>
      </w:r>
    </w:p>
    <w:p w:rsidR="007A1771" w:rsidRPr="0051357C" w:rsidP="00D20217" w14:paraId="7799F48E" w14:textId="65F574B0">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pt-BR" w:eastAsia="nl-NL" w:bidi="nl-NL"/>
        </w:rPr>
        <w:t>Os contratados independentes são responsáveis por todas as implicações fiscais e retenções resultantes de seu trabalho com a Brink's.</w:t>
      </w:r>
    </w:p>
    <w:p w:rsidR="007A1771" w:rsidP="00D20217" w14:paraId="6847D72E" w14:textId="49418F33">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pt-BR" w:eastAsia="nl-NL" w:bidi="nl-NL"/>
        </w:rPr>
        <w:t>Os trabalhadores temporários devem ser identificados como tal em seu crachá de identificação, assinaturas de e-mail, listas telefônicas, organogramas, no Microsoft Outlook, etc.</w:t>
      </w:r>
    </w:p>
    <w:p w:rsidR="00836DB9" w:rsidRPr="0051357C" w:rsidP="00D20217" w14:paraId="198BA202" w14:textId="0A9E707C">
      <w:pPr>
        <w:pStyle w:val="ListParagraph"/>
        <w:numPr>
          <w:ilvl w:val="0"/>
          <w:numId w:val="5"/>
        </w:numPr>
        <w:bidi w:val="0"/>
        <w:jc w:val="both"/>
        <w:rPr>
          <w:rFonts w:eastAsia="Calibri" w:asciiTheme="majorHAnsi" w:hAnsiTheme="majorHAnsi" w:cstheme="majorBidi"/>
          <w:sz w:val="22"/>
          <w:szCs w:val="22"/>
          <w:lang w:val="en-GB" w:eastAsia="nl-NL" w:bidi="nl-NL"/>
        </w:rPr>
      </w:pPr>
      <w:r>
        <w:rPr>
          <w:rFonts w:eastAsia="Calibri" w:asciiTheme="majorHAnsi" w:hAnsiTheme="majorHAnsi" w:cstheme="majorBidi"/>
          <w:sz w:val="22"/>
          <w:szCs w:val="22"/>
          <w:rtl w:val="0"/>
          <w:lang w:val="pt-BR" w:eastAsia="nl-NL" w:bidi="nl-NL"/>
        </w:rPr>
        <w:t>Os trabalhadores temporários não devem receber um título interno da Brink's</w:t>
      </w:r>
    </w:p>
    <w:p w:rsidR="007A1771" w:rsidP="00D20217" w14:paraId="2716F99F" w14:textId="651E0B83">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pt-BR" w:eastAsia="nl-NL" w:bidi="nl-NL"/>
        </w:rPr>
        <w:t>Os trabalhadores temporários só devem ser convidados para as reuniões da empresa com base na "necessidade de saber".</w:t>
      </w:r>
    </w:p>
    <w:p w:rsidR="007A1771" w:rsidRPr="0051357C" w:rsidP="6B3824FD" w14:paraId="245716F8" w14:textId="41DC5DC8">
      <w:pPr>
        <w:pStyle w:val="ListParagraph"/>
        <w:numPr>
          <w:ilvl w:val="0"/>
          <w:numId w:val="5"/>
        </w:numPr>
        <w:bidi w:val="0"/>
        <w:jc w:val="both"/>
        <w:rPr>
          <w:rFonts w:eastAsia="Calibri" w:asciiTheme="majorHAnsi" w:hAnsiTheme="majorHAnsi" w:cstheme="majorBidi"/>
          <w:sz w:val="22"/>
          <w:szCs w:val="22"/>
          <w:lang w:val="en-GB" w:eastAsia="nl-NL" w:bidi="nl-NL"/>
        </w:rPr>
      </w:pPr>
      <w:r w:rsidRPr="6B3824FD">
        <w:rPr>
          <w:rFonts w:asciiTheme="majorHAnsi" w:hAnsiTheme="majorHAnsi" w:cstheme="majorBidi"/>
          <w:sz w:val="22"/>
          <w:szCs w:val="22"/>
          <w:rtl w:val="0"/>
          <w:lang w:val="pt-BR"/>
        </w:rPr>
        <w:t>Os trabalhadores temporários não devem participar de eventos, treinamentos ou eventos externos da empresa.</w:t>
      </w:r>
    </w:p>
    <w:p w:rsidR="0059487B" w:rsidP="007A1771" w14:paraId="7B6E47E8" w14:textId="77777777">
      <w:pPr>
        <w:jc w:val="both"/>
        <w:rPr>
          <w:rFonts w:eastAsia="Calibri" w:asciiTheme="majorHAnsi" w:hAnsiTheme="majorHAnsi" w:cstheme="majorBidi"/>
          <w:sz w:val="22"/>
          <w:szCs w:val="22"/>
          <w:lang w:eastAsia="nl-NL" w:bidi="nl-NL"/>
        </w:rPr>
      </w:pPr>
    </w:p>
    <w:p w:rsidR="00786AC3" w:rsidRPr="0051357C" w:rsidP="007A1771" w14:paraId="1FCAF5E0" w14:textId="60B15879">
      <w:pPr>
        <w:bidi w:val="0"/>
        <w:jc w:val="both"/>
        <w:rPr>
          <w:rFonts w:eastAsia="Calibri" w:asciiTheme="majorHAnsi" w:hAnsiTheme="majorHAnsi" w:cstheme="majorBidi"/>
          <w:sz w:val="22"/>
          <w:szCs w:val="22"/>
          <w:lang w:eastAsia="nl-NL" w:bidi="nl-NL"/>
        </w:rPr>
      </w:pPr>
      <w:r>
        <w:rPr>
          <w:rFonts w:eastAsia="Calibri" w:asciiTheme="majorHAnsi" w:hAnsiTheme="majorHAnsi" w:cstheme="majorBidi"/>
          <w:sz w:val="22"/>
          <w:szCs w:val="22"/>
          <w:rtl w:val="0"/>
          <w:lang w:val="pt-BR" w:eastAsia="nl-NL" w:bidi="nl-NL"/>
        </w:rPr>
        <w:t>Qualquer exceção ao acima deve ser aprovada pelo Jurídico.</w:t>
      </w:r>
    </w:p>
    <w:p w:rsidR="00851A67" w:rsidRPr="0051357C" w:rsidP="0051357C" w14:paraId="2213E55B" w14:textId="77777777">
      <w:pPr>
        <w:pStyle w:val="Heading3"/>
        <w:numPr>
          <w:ilvl w:val="0"/>
          <w:numId w:val="0"/>
        </w:numPr>
        <w:bidi w:val="0"/>
        <w:jc w:val="both"/>
        <w:rPr>
          <w:rFonts w:eastAsia="Calibri"/>
          <w:i/>
          <w:iCs/>
          <w:color w:val="auto"/>
          <w:sz w:val="22"/>
          <w:szCs w:val="22"/>
          <w:lang w:eastAsia="nl-NL" w:bidi="nl-NL"/>
        </w:rPr>
      </w:pPr>
      <w:bookmarkEnd w:id="100"/>
      <w:bookmarkStart w:id="101" w:name="_Toc256000026"/>
      <w:r w:rsidRPr="0051357C">
        <w:rPr>
          <w:rFonts w:eastAsia="Calibri"/>
          <w:i/>
          <w:iCs/>
          <w:color w:val="auto"/>
          <w:sz w:val="22"/>
          <w:szCs w:val="22"/>
          <w:rtl w:val="0"/>
          <w:lang w:val="pt-BR" w:eastAsia="nl-NL" w:bidi="nl-NL"/>
        </w:rPr>
        <w:t>Instruções de integração</w:t>
      </w:r>
      <w:bookmarkEnd w:id="101"/>
    </w:p>
    <w:p w:rsidR="00851A67" w:rsidRPr="0051357C" w:rsidP="6B3824FD" w14:paraId="2D36F5A0" w14:textId="4CF8A3CD">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pt-BR" w:eastAsia="nl-NL" w:bidi="nl-NL"/>
        </w:rPr>
        <w:t>A triagem de antecedentes a ser realizada antes da integração do Trabalhador Temporário será feita de acordo com a legislação local e a política aplicável da empresa. Os Trabalhadores Contingentes receberão todo o equipamento necessário (ou seja, laptops).</w:t>
      </w:r>
    </w:p>
    <w:p w:rsidR="00851A67" w:rsidRPr="0051357C" w:rsidP="0051357C" w14:paraId="3079D8DD" w14:textId="77777777">
      <w:pPr>
        <w:pStyle w:val="Heading3"/>
        <w:numPr>
          <w:ilvl w:val="0"/>
          <w:numId w:val="0"/>
        </w:numPr>
        <w:bidi w:val="0"/>
        <w:jc w:val="both"/>
        <w:rPr>
          <w:rFonts w:eastAsia="Calibri"/>
          <w:i/>
          <w:iCs/>
          <w:color w:val="auto"/>
          <w:sz w:val="22"/>
          <w:szCs w:val="22"/>
          <w:lang w:eastAsia="nl-NL" w:bidi="nl-NL"/>
        </w:rPr>
      </w:pPr>
      <w:bookmarkStart w:id="102" w:name="_Toc256000027"/>
      <w:r w:rsidRPr="0051357C">
        <w:rPr>
          <w:rFonts w:eastAsia="Calibri"/>
          <w:i/>
          <w:iCs/>
          <w:color w:val="auto"/>
          <w:sz w:val="22"/>
          <w:szCs w:val="22"/>
          <w:rtl w:val="0"/>
          <w:lang w:val="pt-BR" w:eastAsia="nl-NL" w:bidi="nl-NL"/>
        </w:rPr>
        <w:t>Período de aviso prévio</w:t>
      </w:r>
      <w:bookmarkEnd w:id="102"/>
      <w:r w:rsidRPr="0051357C">
        <w:rPr>
          <w:rFonts w:eastAsia="Calibri"/>
          <w:i/>
          <w:iCs/>
          <w:color w:val="auto"/>
          <w:sz w:val="22"/>
          <w:szCs w:val="22"/>
          <w:rtl w:val="0"/>
          <w:lang w:val="pt-BR" w:eastAsia="nl-NL" w:bidi="nl-NL"/>
        </w:rPr>
        <w:t xml:space="preserve"> </w:t>
      </w:r>
    </w:p>
    <w:p w:rsidR="00851A67" w:rsidRPr="0051357C" w:rsidP="6B3824FD" w14:paraId="754DA01E" w14:textId="2A3BBC1A">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pt-BR" w:eastAsia="nl-NL" w:bidi="nl-NL"/>
        </w:rPr>
        <w:t xml:space="preserve">Para o procedimento de desligamento, o Trabalhador Temporário está sujeito à duração legal mínima da legislação de cada país. </w:t>
      </w:r>
    </w:p>
    <w:p w:rsidR="00851A67" w:rsidRPr="0051357C" w:rsidP="0051357C" w14:paraId="3E04A6F8" w14:textId="77777777">
      <w:pPr>
        <w:pStyle w:val="Heading3"/>
        <w:numPr>
          <w:ilvl w:val="0"/>
          <w:numId w:val="0"/>
        </w:numPr>
        <w:bidi w:val="0"/>
        <w:jc w:val="both"/>
        <w:rPr>
          <w:rFonts w:eastAsia="Calibri"/>
          <w:i/>
          <w:iCs/>
          <w:color w:val="auto"/>
          <w:sz w:val="22"/>
          <w:szCs w:val="22"/>
          <w:lang w:eastAsia="nl-NL" w:bidi="nl-NL"/>
        </w:rPr>
      </w:pPr>
      <w:bookmarkStart w:id="103" w:name="_Toc256000028"/>
      <w:r w:rsidRPr="0051357C">
        <w:rPr>
          <w:rFonts w:eastAsia="Calibri"/>
          <w:i/>
          <w:iCs/>
          <w:color w:val="auto"/>
          <w:sz w:val="22"/>
          <w:szCs w:val="22"/>
          <w:rtl w:val="0"/>
          <w:lang w:val="pt-BR" w:eastAsia="nl-NL" w:bidi="nl-NL"/>
        </w:rPr>
        <w:t>Transferências temporárias para permanentes (temp2perm)</w:t>
      </w:r>
      <w:bookmarkEnd w:id="103"/>
    </w:p>
    <w:p w:rsidR="00851A67" w:rsidRPr="0051357C" w:rsidP="00851A67" w14:paraId="623318CE" w14:textId="3CFE2F11">
      <w:pPr>
        <w:bidi w:val="0"/>
        <w:jc w:val="both"/>
        <w:rPr>
          <w:rFonts w:eastAsia="Calibri" w:asciiTheme="majorHAnsi" w:hAnsiTheme="majorHAnsi" w:cstheme="majorBidi"/>
          <w:sz w:val="22"/>
          <w:szCs w:val="22"/>
          <w:lang w:eastAsia="nl-NL" w:bidi="nl-NL"/>
        </w:rPr>
      </w:pPr>
      <w:r>
        <w:rPr>
          <w:rFonts w:eastAsia="Calibri" w:asciiTheme="majorHAnsi" w:hAnsiTheme="majorHAnsi" w:cstheme="majorBidi"/>
          <w:sz w:val="22"/>
          <w:szCs w:val="22"/>
          <w:rtl w:val="0"/>
          <w:lang w:val="pt-BR" w:eastAsia="nl-NL" w:bidi="nl-NL"/>
        </w:rPr>
        <w:t xml:space="preserve">Exceto para trabalhadores temporários autônomos, como freelancers, todas as atribuições de trabalhadores temporários precisam ter uma cláusula temporária a permanente, onde a Brink's tem a possibilidade de oferecer aos trabalhadores uma posição permanente após um período específico de tempo. </w:t>
      </w:r>
    </w:p>
    <w:p w:rsidR="0036756B" w:rsidRPr="00593902" w:rsidP="00820532" w14:paraId="6ADCCF0A" w14:textId="4C865D92">
      <w:pPr>
        <w:pStyle w:val="Heading1"/>
        <w:bidi w:val="0"/>
        <w:rPr>
          <w:rFonts w:cstheme="majorHAnsi"/>
          <w:color w:val="auto"/>
        </w:rPr>
      </w:pPr>
      <w:bookmarkStart w:id="104" w:name="_Toc256000029"/>
      <w:r w:rsidRPr="00593902">
        <w:rPr>
          <w:rFonts w:cstheme="majorHAnsi"/>
          <w:color w:val="auto"/>
          <w:rtl w:val="0"/>
          <w:lang w:val="pt-BR"/>
        </w:rPr>
        <w:t>PAPÉIS E RESPONSABILIDADES</w:t>
      </w:r>
      <w:bookmarkEnd w:id="104"/>
    </w:p>
    <w:p w:rsidR="006C341A" w:rsidRPr="0074239A" w:rsidP="006C341A" w14:paraId="76F5FC2F" w14:textId="77777777">
      <w:pPr>
        <w:rPr>
          <w:rFonts w:asciiTheme="majorHAnsi" w:hAnsiTheme="majorHAnsi" w:cstheme="majorHAnsi"/>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6480"/>
      </w:tblGrid>
      <w:tr w14:paraId="420F7786" w14:textId="77777777" w:rsidTr="6B3824FD">
        <w:tblPrEx>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4050" w:type="dxa"/>
            <w:shd w:val="clear" w:color="auto" w:fill="BCD3EE"/>
            <w:vAlign w:val="center"/>
            <w:hideMark/>
          </w:tcPr>
          <w:p w:rsidR="006C341A" w:rsidRPr="0074239A" w:rsidP="6B3824FD" w14:paraId="1A4CF6DB" w14:textId="77777777">
            <w:pPr>
              <w:bidi w:val="0"/>
              <w:jc w:val="center"/>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tl w:val="0"/>
                <w:lang w:val="pt-BR"/>
              </w:rPr>
              <w:t>Responsável</w:t>
            </w:r>
          </w:p>
        </w:tc>
        <w:tc>
          <w:tcPr>
            <w:tcW w:w="6480" w:type="dxa"/>
            <w:shd w:val="clear" w:color="auto" w:fill="BCD3EE"/>
            <w:vAlign w:val="center"/>
            <w:hideMark/>
          </w:tcPr>
          <w:p w:rsidR="006C341A" w:rsidRPr="0074239A" w:rsidP="00E74EF7" w14:paraId="15A6FB9D" w14:textId="77777777">
            <w:pPr>
              <w:bidi w:val="0"/>
              <w:jc w:val="center"/>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pt-BR"/>
              </w:rPr>
              <w:t>Detalhes</w:t>
            </w:r>
          </w:p>
        </w:tc>
      </w:tr>
      <w:tr w14:paraId="2EA03914" w14:textId="77777777" w:rsidTr="6B3824FD">
        <w:tblPrEx>
          <w:tblW w:w="10530" w:type="dxa"/>
          <w:tblInd w:w="-5" w:type="dxa"/>
          <w:tblLook w:val="04A0"/>
        </w:tblPrEx>
        <w:trPr>
          <w:trHeight w:val="629"/>
        </w:trPr>
        <w:tc>
          <w:tcPr>
            <w:tcW w:w="4050" w:type="dxa"/>
            <w:shd w:val="clear" w:color="auto" w:fill="auto"/>
            <w:vAlign w:val="center"/>
            <w:hideMark/>
          </w:tcPr>
          <w:p w:rsidR="006C341A" w:rsidRPr="0074239A" w:rsidP="00E74EF7" w14:paraId="66692013" w14:textId="14CC9538">
            <w:pPr>
              <w:bidi w:val="0"/>
              <w:rPr>
                <w:rFonts w:asciiTheme="majorHAnsi" w:hAnsiTheme="majorHAnsi" w:cstheme="majorHAnsi"/>
                <w:b/>
                <w:bCs/>
                <w:color w:val="000000"/>
                <w:sz w:val="22"/>
                <w:szCs w:val="22"/>
              </w:rPr>
            </w:pPr>
            <w:r>
              <w:rPr>
                <w:rFonts w:asciiTheme="majorHAnsi" w:hAnsiTheme="majorHAnsi" w:cstheme="majorHAnsi"/>
                <w:b/>
                <w:bCs/>
                <w:color w:val="000000"/>
                <w:sz w:val="22"/>
                <w:szCs w:val="22"/>
                <w:rtl w:val="0"/>
                <w:lang w:val="pt-BR"/>
              </w:rPr>
              <w:t>Gerente de Unidade de Negócios ou Gerente de Contratação</w:t>
            </w:r>
          </w:p>
        </w:tc>
        <w:tc>
          <w:tcPr>
            <w:tcW w:w="6480" w:type="dxa"/>
            <w:shd w:val="clear" w:color="auto" w:fill="auto"/>
            <w:vAlign w:val="center"/>
            <w:hideMark/>
          </w:tcPr>
          <w:p w:rsidR="006C341A" w:rsidRPr="0074239A" w:rsidP="6B3824FD" w14:paraId="6A007548" w14:textId="1EDCB281">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pt-BR"/>
              </w:rPr>
              <w:t>Processos de gestão, seleção e contratação relacionados a colaboradores temporários</w:t>
            </w:r>
          </w:p>
        </w:tc>
      </w:tr>
      <w:tr w14:paraId="424622EC" w14:textId="77777777" w:rsidTr="6B3824FD">
        <w:tblPrEx>
          <w:tblW w:w="10530" w:type="dxa"/>
          <w:tblInd w:w="-5" w:type="dxa"/>
          <w:tblLook w:val="04A0"/>
        </w:tblPrEx>
        <w:trPr>
          <w:trHeight w:val="440"/>
        </w:trPr>
        <w:tc>
          <w:tcPr>
            <w:tcW w:w="4050" w:type="dxa"/>
            <w:shd w:val="clear" w:color="auto" w:fill="auto"/>
            <w:vAlign w:val="center"/>
            <w:hideMark/>
          </w:tcPr>
          <w:p w:rsidR="006C341A" w:rsidRPr="0074239A" w:rsidP="00E74EF7" w14:paraId="53BA79A6" w14:textId="77777777">
            <w:pPr>
              <w:bidi w:val="0"/>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pt-BR"/>
              </w:rPr>
              <w:t>Sourcing estratégico</w:t>
            </w:r>
          </w:p>
        </w:tc>
        <w:tc>
          <w:tcPr>
            <w:tcW w:w="6480" w:type="dxa"/>
            <w:shd w:val="clear" w:color="auto" w:fill="auto"/>
            <w:vAlign w:val="center"/>
            <w:hideMark/>
          </w:tcPr>
          <w:p w:rsidR="006C341A" w:rsidRPr="0074239A" w:rsidP="6B3824FD" w14:paraId="33D9B6CA" w14:textId="13B8AF0C">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pt-BR"/>
              </w:rPr>
              <w:t>Fornecimento, negociação e interação com os fornecedores em questão</w:t>
            </w:r>
          </w:p>
        </w:tc>
      </w:tr>
      <w:tr w14:paraId="1DB9FE8B" w14:textId="77777777" w:rsidTr="6B3824FD">
        <w:tblPrEx>
          <w:tblW w:w="10530" w:type="dxa"/>
          <w:tblInd w:w="-5" w:type="dxa"/>
          <w:tblLook w:val="04A0"/>
        </w:tblPrEx>
        <w:trPr>
          <w:trHeight w:val="530"/>
        </w:trPr>
        <w:tc>
          <w:tcPr>
            <w:tcW w:w="4050" w:type="dxa"/>
            <w:shd w:val="clear" w:color="auto" w:fill="auto"/>
            <w:vAlign w:val="center"/>
            <w:hideMark/>
          </w:tcPr>
          <w:p w:rsidR="006C341A" w:rsidRPr="0074239A" w:rsidP="00E74EF7" w14:paraId="17B692C6" w14:textId="77777777">
            <w:pPr>
              <w:bidi w:val="0"/>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pt-BR"/>
              </w:rPr>
              <w:t>Equipes de RH e Strategic Sourcing</w:t>
            </w:r>
          </w:p>
        </w:tc>
        <w:tc>
          <w:tcPr>
            <w:tcW w:w="6480" w:type="dxa"/>
            <w:shd w:val="clear" w:color="auto" w:fill="auto"/>
            <w:vAlign w:val="center"/>
            <w:hideMark/>
          </w:tcPr>
          <w:p w:rsidR="006C341A" w:rsidRPr="0074239A" w:rsidP="6B3824FD" w14:paraId="52298401" w14:textId="2F200AF8">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pt-BR"/>
              </w:rPr>
              <w:t>Manutenção e governança de políticas</w:t>
            </w:r>
          </w:p>
        </w:tc>
      </w:tr>
      <w:tr w14:paraId="2F96DC99" w14:textId="77777777" w:rsidTr="6B3824FD">
        <w:tblPrEx>
          <w:tblW w:w="10530" w:type="dxa"/>
          <w:tblInd w:w="-5" w:type="dxa"/>
          <w:tblLook w:val="04A0"/>
        </w:tblPrEx>
        <w:trPr>
          <w:trHeight w:val="440"/>
        </w:trPr>
        <w:tc>
          <w:tcPr>
            <w:tcW w:w="4050" w:type="dxa"/>
            <w:shd w:val="clear" w:color="auto" w:fill="auto"/>
            <w:vAlign w:val="center"/>
            <w:hideMark/>
          </w:tcPr>
          <w:p w:rsidR="006C341A" w:rsidRPr="0074239A" w:rsidP="6B3824FD" w14:paraId="0366EEB8" w14:textId="31A91327">
            <w:pPr>
              <w:bidi w:val="0"/>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tl w:val="0"/>
                <w:lang w:val="pt-BR"/>
              </w:rPr>
              <w:t>Equipe Global de Liderança de RH e Jurídico</w:t>
            </w:r>
          </w:p>
        </w:tc>
        <w:tc>
          <w:tcPr>
            <w:tcW w:w="6480" w:type="dxa"/>
            <w:shd w:val="clear" w:color="auto" w:fill="auto"/>
            <w:vAlign w:val="center"/>
            <w:hideMark/>
          </w:tcPr>
          <w:p w:rsidR="006C341A" w:rsidRPr="0074239A" w:rsidP="6B3824FD" w14:paraId="1EE0C29E" w14:textId="7E6082E7">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pt-BR"/>
              </w:rPr>
              <w:t>Endosso da política global; Aprovações para desvios de política</w:t>
            </w:r>
          </w:p>
        </w:tc>
      </w:tr>
    </w:tbl>
    <w:p w:rsidR="006C341A" w:rsidRPr="0074239A" w:rsidP="006C341A" w14:paraId="76F97431" w14:textId="77777777">
      <w:pPr>
        <w:jc w:val="both"/>
        <w:rPr>
          <w:rFonts w:asciiTheme="majorHAnsi" w:hAnsiTheme="majorHAnsi" w:cstheme="majorHAnsi"/>
          <w:lang w:eastAsia="nl-NL" w:bidi="nl-NL"/>
        </w:rPr>
      </w:pPr>
    </w:p>
    <w:p w:rsidR="006C341A" w:rsidRPr="0051357C" w:rsidP="006C341A" w14:paraId="6DBEB811" w14:textId="03361EBC">
      <w:pPr>
        <w:bidi w:val="0"/>
        <w:jc w:val="both"/>
        <w:rPr>
          <w:rFonts w:asciiTheme="majorHAnsi" w:hAnsiTheme="majorHAnsi" w:cstheme="majorBidi"/>
          <w:sz w:val="22"/>
          <w:szCs w:val="22"/>
          <w:lang w:eastAsia="nl-NL" w:bidi="nl-NL"/>
        </w:rPr>
      </w:pPr>
      <w:r>
        <w:rPr>
          <w:rFonts w:asciiTheme="majorHAnsi" w:hAnsiTheme="majorHAnsi" w:cstheme="majorBidi"/>
          <w:sz w:val="22"/>
          <w:szCs w:val="22"/>
          <w:rtl w:val="0"/>
          <w:lang w:val="pt-BR" w:eastAsia="nl-NL" w:bidi="nl-NL"/>
        </w:rPr>
        <w:t>Os escalonamentos de políticas precisam ser direcionados para: Angela Gambaro, vice-presidente global de aquisição de talentos.</w:t>
      </w:r>
    </w:p>
    <w:p w:rsidR="00355B9F" w:rsidRPr="0074239A" w:rsidP="006C341A" w14:paraId="18E3F5FF" w14:textId="77777777">
      <w:pPr>
        <w:jc w:val="both"/>
        <w:rPr>
          <w:rFonts w:asciiTheme="majorHAnsi" w:hAnsiTheme="majorHAnsi" w:cstheme="majorHAnsi"/>
          <w:sz w:val="22"/>
          <w:szCs w:val="22"/>
          <w:lang w:eastAsia="nl-NL" w:bidi="nl-NL"/>
        </w:rPr>
      </w:pPr>
    </w:p>
    <w:p w:rsidR="00355B9F" w:rsidRPr="0074239A" w:rsidP="00355B9F" w14:paraId="6F58F62B" w14:textId="77777777">
      <w:pPr>
        <w:bidi w:val="0"/>
        <w:spacing w:after="240"/>
        <w:rPr>
          <w:rFonts w:asciiTheme="majorHAnsi" w:hAnsiTheme="majorHAnsi" w:cstheme="majorHAnsi"/>
          <w:sz w:val="22"/>
          <w:szCs w:val="22"/>
        </w:rPr>
      </w:pPr>
      <w:r w:rsidRPr="0074239A">
        <w:rPr>
          <w:rFonts w:asciiTheme="majorHAnsi" w:hAnsiTheme="majorHAnsi" w:cstheme="majorHAnsi"/>
          <w:sz w:val="22"/>
          <w:szCs w:val="22"/>
          <w:rtl w:val="0"/>
          <w:lang w:val="pt-BR"/>
        </w:rPr>
        <w:t xml:space="preserve">Os membros da equipe de Sourcing Estratégico Global estão listados abaixo: </w:t>
      </w:r>
    </w:p>
    <w:tbl>
      <w:tblPr>
        <w:tblStyle w:val="TableGrid"/>
        <w:tblW w:w="10315" w:type="dxa"/>
        <w:tblLook w:val="04A0"/>
      </w:tblPr>
      <w:tblGrid>
        <w:gridCol w:w="1885"/>
        <w:gridCol w:w="3090"/>
        <w:gridCol w:w="5340"/>
      </w:tblGrid>
      <w:tr w14:paraId="0B531E58" w14:textId="77777777" w:rsidTr="3F806670">
        <w:tblPrEx>
          <w:tblW w:w="10315" w:type="dxa"/>
          <w:tblLook w:val="04A0"/>
        </w:tblPrEx>
        <w:trPr>
          <w:trHeight w:val="353"/>
        </w:trPr>
        <w:tc>
          <w:tcPr>
            <w:tcW w:w="1885" w:type="dxa"/>
            <w:shd w:val="clear" w:color="auto" w:fill="BCD3EE"/>
          </w:tcPr>
          <w:p w:rsidR="00723B0B" w:rsidRPr="00593902" w:rsidP="00E74EF7" w14:paraId="042647DB" w14:textId="1FB5EF0B">
            <w:pPr>
              <w:bidi w:val="0"/>
              <w:jc w:val="center"/>
              <w:rPr>
                <w:rFonts w:asciiTheme="majorHAnsi" w:hAnsiTheme="majorHAnsi" w:cstheme="majorHAnsi"/>
                <w:b/>
              </w:rPr>
            </w:pPr>
            <w:r w:rsidRPr="00593902">
              <w:rPr>
                <w:rFonts w:asciiTheme="majorHAnsi" w:hAnsiTheme="majorHAnsi" w:cstheme="majorHAnsi"/>
                <w:b/>
                <w:rtl w:val="0"/>
                <w:lang w:val="pt-BR"/>
              </w:rPr>
              <w:t>País</w:t>
            </w:r>
          </w:p>
        </w:tc>
        <w:tc>
          <w:tcPr>
            <w:tcW w:w="3090" w:type="dxa"/>
            <w:shd w:val="clear" w:color="auto" w:fill="BCD3EE"/>
            <w:vAlign w:val="center"/>
          </w:tcPr>
          <w:p w:rsidR="00723B0B" w:rsidRPr="00593902" w:rsidP="00E74EF7" w14:paraId="42E8CCC0" w14:textId="1DF96862">
            <w:pPr>
              <w:bidi w:val="0"/>
              <w:jc w:val="center"/>
              <w:rPr>
                <w:rFonts w:asciiTheme="majorHAnsi" w:hAnsiTheme="majorHAnsi" w:cstheme="majorHAnsi"/>
                <w:b/>
              </w:rPr>
            </w:pPr>
            <w:r w:rsidRPr="00593902">
              <w:rPr>
                <w:rFonts w:asciiTheme="majorHAnsi" w:hAnsiTheme="majorHAnsi" w:cstheme="majorHAnsi"/>
                <w:b/>
                <w:rtl w:val="0"/>
                <w:lang w:val="pt-BR"/>
              </w:rPr>
              <w:t>Nome</w:t>
            </w:r>
          </w:p>
        </w:tc>
        <w:tc>
          <w:tcPr>
            <w:tcW w:w="5340" w:type="dxa"/>
            <w:shd w:val="clear" w:color="auto" w:fill="BCD3EE"/>
            <w:vAlign w:val="center"/>
          </w:tcPr>
          <w:p w:rsidR="00723B0B" w:rsidRPr="00593902" w:rsidP="00E74EF7" w14:paraId="443A4AC4" w14:textId="77777777">
            <w:pPr>
              <w:bidi w:val="0"/>
              <w:jc w:val="center"/>
              <w:rPr>
                <w:rFonts w:asciiTheme="majorHAnsi" w:hAnsiTheme="majorHAnsi" w:cstheme="majorHAnsi"/>
                <w:b/>
              </w:rPr>
            </w:pPr>
            <w:r w:rsidRPr="00593902">
              <w:rPr>
                <w:rFonts w:asciiTheme="majorHAnsi" w:hAnsiTheme="majorHAnsi" w:cstheme="majorHAnsi"/>
                <w:b/>
                <w:rtl w:val="0"/>
                <w:lang w:val="pt-BR"/>
              </w:rPr>
              <w:t>Email</w:t>
            </w:r>
          </w:p>
        </w:tc>
      </w:tr>
      <w:tr w14:paraId="6193D3EA" w14:textId="77777777" w:rsidTr="3F806670">
        <w:tblPrEx>
          <w:tblW w:w="10315" w:type="dxa"/>
          <w:tblLook w:val="04A0"/>
        </w:tblPrEx>
        <w:trPr>
          <w:trHeight w:val="353"/>
        </w:trPr>
        <w:tc>
          <w:tcPr>
            <w:tcW w:w="1885" w:type="dxa"/>
          </w:tcPr>
          <w:p w:rsidR="00723B0B" w:rsidP="00484EE0" w14:paraId="1C9593B9" w14:textId="1E4ED097">
            <w:pPr>
              <w:bidi w:val="0"/>
              <w:jc w:val="center"/>
              <w:rPr>
                <w:rFonts w:asciiTheme="majorHAnsi" w:hAnsiTheme="majorHAnsi" w:cstheme="majorHAnsi"/>
              </w:rPr>
            </w:pPr>
            <w:r>
              <w:rPr>
                <w:rFonts w:asciiTheme="majorHAnsi" w:hAnsiTheme="majorHAnsi" w:cstheme="majorHAnsi"/>
                <w:rtl w:val="0"/>
                <w:lang w:val="pt-BR"/>
              </w:rPr>
              <w:t>NOS</w:t>
            </w:r>
          </w:p>
        </w:tc>
        <w:tc>
          <w:tcPr>
            <w:tcW w:w="3090" w:type="dxa"/>
            <w:vAlign w:val="center"/>
          </w:tcPr>
          <w:p w:rsidR="00723B0B" w:rsidRPr="0074239A" w:rsidP="00484EE0" w14:paraId="0EBFC0FB" w14:textId="208800DB">
            <w:pPr>
              <w:bidi w:val="0"/>
              <w:jc w:val="center"/>
              <w:rPr>
                <w:rFonts w:asciiTheme="majorHAnsi" w:hAnsiTheme="majorHAnsi" w:cstheme="majorHAnsi"/>
              </w:rPr>
            </w:pPr>
            <w:r>
              <w:rPr>
                <w:rFonts w:asciiTheme="majorHAnsi" w:hAnsiTheme="majorHAnsi" w:cstheme="majorHAnsi"/>
                <w:rtl w:val="0"/>
                <w:lang w:val="pt-BR"/>
              </w:rPr>
              <w:t>Hugh Mouden</w:t>
            </w:r>
          </w:p>
        </w:tc>
        <w:tc>
          <w:tcPr>
            <w:tcW w:w="5340" w:type="dxa"/>
            <w:vAlign w:val="center"/>
          </w:tcPr>
          <w:p w:rsidR="00723B0B" w:rsidRPr="0074239A" w:rsidP="00484EE0" w14:paraId="5B1C23BC" w14:textId="64C0FC41">
            <w:pPr>
              <w:bidi w:val="0"/>
              <w:jc w:val="center"/>
              <w:rPr>
                <w:rFonts w:asciiTheme="majorHAnsi" w:hAnsiTheme="majorHAnsi" w:cstheme="majorHAnsi"/>
              </w:rPr>
            </w:pPr>
            <w:r w:rsidRPr="00F03037">
              <w:rPr>
                <w:rFonts w:asciiTheme="majorHAnsi" w:hAnsiTheme="majorHAnsi" w:cstheme="majorHAnsi"/>
                <w:rtl w:val="0"/>
                <w:lang w:val="pt-BR"/>
              </w:rPr>
              <w:t>hugh.mouden@brinksinc.com</w:t>
            </w:r>
          </w:p>
        </w:tc>
      </w:tr>
      <w:tr w14:paraId="17ED6D52" w14:textId="77777777" w:rsidTr="3F806670">
        <w:tblPrEx>
          <w:tblW w:w="10315" w:type="dxa"/>
          <w:tblLook w:val="04A0"/>
        </w:tblPrEx>
        <w:trPr>
          <w:trHeight w:val="353"/>
        </w:trPr>
        <w:tc>
          <w:tcPr>
            <w:tcW w:w="1885" w:type="dxa"/>
          </w:tcPr>
          <w:p w:rsidR="00723B0B" w:rsidRPr="0074239A" w:rsidP="0051357C" w14:paraId="2FB16E5F" w14:textId="30AB6701">
            <w:pPr>
              <w:bidi w:val="0"/>
              <w:jc w:val="center"/>
              <w:rPr>
                <w:rFonts w:asciiTheme="majorHAnsi" w:hAnsiTheme="majorHAnsi" w:cstheme="majorHAnsi"/>
              </w:rPr>
            </w:pPr>
            <w:r>
              <w:rPr>
                <w:rFonts w:asciiTheme="majorHAnsi" w:hAnsiTheme="majorHAnsi" w:cstheme="majorHAnsi"/>
                <w:rtl w:val="0"/>
                <w:lang w:val="pt-BR"/>
              </w:rPr>
              <w:t>França</w:t>
            </w:r>
          </w:p>
        </w:tc>
        <w:tc>
          <w:tcPr>
            <w:tcW w:w="3090" w:type="dxa"/>
            <w:vAlign w:val="center"/>
          </w:tcPr>
          <w:p w:rsidR="00723B0B" w:rsidRPr="0074239A" w:rsidP="0051357C" w14:paraId="7F359211" w14:textId="4CCB5FA8">
            <w:pPr>
              <w:bidi w:val="0"/>
              <w:jc w:val="center"/>
              <w:rPr>
                <w:rFonts w:asciiTheme="majorHAnsi" w:hAnsiTheme="majorHAnsi" w:cstheme="majorHAnsi"/>
              </w:rPr>
            </w:pPr>
            <w:r>
              <w:rPr>
                <w:rFonts w:asciiTheme="majorHAnsi" w:hAnsiTheme="majorHAnsi" w:cstheme="majorHAnsi"/>
                <w:rtl w:val="0"/>
                <w:lang w:val="pt-BR"/>
              </w:rPr>
              <w:t>Petronela Skorkova</w:t>
            </w:r>
          </w:p>
        </w:tc>
        <w:tc>
          <w:tcPr>
            <w:tcW w:w="5340" w:type="dxa"/>
            <w:vAlign w:val="center"/>
          </w:tcPr>
          <w:p w:rsidR="00723B0B" w:rsidRPr="0074239A" w:rsidP="00484EE0" w14:paraId="1C4B8301" w14:textId="294A6116">
            <w:pPr>
              <w:bidi w:val="0"/>
              <w:jc w:val="center"/>
              <w:rPr>
                <w:rFonts w:asciiTheme="majorHAnsi" w:hAnsiTheme="majorHAnsi" w:cstheme="majorHAnsi"/>
              </w:rPr>
            </w:pPr>
            <w:r w:rsidRPr="00723B0B">
              <w:rPr>
                <w:rFonts w:asciiTheme="majorHAnsi" w:hAnsiTheme="majorHAnsi" w:cstheme="majorHAnsi"/>
                <w:rtl w:val="0"/>
                <w:lang w:val="pt-BR"/>
              </w:rPr>
              <w:t>p.skorkova@brinks.fr</w:t>
            </w:r>
          </w:p>
        </w:tc>
      </w:tr>
      <w:tr w14:paraId="286C64E2" w14:textId="77777777" w:rsidTr="3F806670">
        <w:tblPrEx>
          <w:tblW w:w="10315" w:type="dxa"/>
          <w:tblLook w:val="04A0"/>
        </w:tblPrEx>
        <w:trPr>
          <w:trHeight w:val="353"/>
        </w:trPr>
        <w:tc>
          <w:tcPr>
            <w:tcW w:w="1885" w:type="dxa"/>
          </w:tcPr>
          <w:p w:rsidR="00723B0B" w:rsidRPr="0074239A" w:rsidP="0051357C" w14:paraId="0E93F776" w14:textId="3432AA4D">
            <w:pPr>
              <w:bidi w:val="0"/>
              <w:jc w:val="center"/>
              <w:rPr>
                <w:rFonts w:asciiTheme="majorHAnsi" w:hAnsiTheme="majorHAnsi" w:cstheme="majorHAnsi"/>
              </w:rPr>
            </w:pPr>
            <w:r>
              <w:rPr>
                <w:rFonts w:asciiTheme="majorHAnsi" w:hAnsiTheme="majorHAnsi" w:cstheme="majorHAnsi"/>
                <w:rtl w:val="0"/>
                <w:lang w:val="pt-BR"/>
              </w:rPr>
              <w:t>Países Baixos</w:t>
            </w:r>
          </w:p>
        </w:tc>
        <w:tc>
          <w:tcPr>
            <w:tcW w:w="3090" w:type="dxa"/>
            <w:vAlign w:val="center"/>
          </w:tcPr>
          <w:p w:rsidR="00723B0B" w:rsidRPr="0074239A" w:rsidP="0051357C" w14:paraId="0A879FDC" w14:textId="343E4B2B">
            <w:pPr>
              <w:bidi w:val="0"/>
              <w:jc w:val="center"/>
              <w:rPr>
                <w:rFonts w:asciiTheme="majorHAnsi" w:hAnsiTheme="majorHAnsi" w:cstheme="majorHAnsi"/>
              </w:rPr>
            </w:pPr>
            <w:r>
              <w:rPr>
                <w:rFonts w:asciiTheme="majorHAnsi" w:hAnsiTheme="majorHAnsi" w:cstheme="majorHAnsi"/>
                <w:rtl w:val="0"/>
                <w:lang w:val="pt-BR"/>
              </w:rPr>
              <w:t>Mohamed Barry</w:t>
            </w:r>
          </w:p>
        </w:tc>
        <w:tc>
          <w:tcPr>
            <w:tcW w:w="5340" w:type="dxa"/>
            <w:vAlign w:val="center"/>
          </w:tcPr>
          <w:p w:rsidR="00723B0B" w:rsidRPr="0074239A" w:rsidP="00484EE0" w14:paraId="482AAE45" w14:textId="4213879D">
            <w:pPr>
              <w:bidi w:val="0"/>
              <w:jc w:val="center"/>
              <w:rPr>
                <w:rFonts w:asciiTheme="majorHAnsi" w:hAnsiTheme="majorHAnsi" w:cstheme="majorHAnsi"/>
              </w:rPr>
            </w:pPr>
            <w:r w:rsidRPr="00484EE0">
              <w:rPr>
                <w:rFonts w:asciiTheme="majorHAnsi" w:hAnsiTheme="majorHAnsi" w:cstheme="majorHAnsi"/>
                <w:rtl w:val="0"/>
                <w:lang w:val="pt-BR"/>
              </w:rPr>
              <w:t>mohamed.barry@brinks.com</w:t>
            </w:r>
          </w:p>
        </w:tc>
      </w:tr>
      <w:tr w14:paraId="113556F5" w14:textId="77777777" w:rsidTr="3F806670">
        <w:tblPrEx>
          <w:tblW w:w="10315" w:type="dxa"/>
          <w:tblLook w:val="04A0"/>
        </w:tblPrEx>
        <w:trPr>
          <w:trHeight w:val="353"/>
        </w:trPr>
        <w:tc>
          <w:tcPr>
            <w:tcW w:w="1885" w:type="dxa"/>
          </w:tcPr>
          <w:p w:rsidR="00484EE0" w:rsidP="00484EE0" w14:paraId="36E178DF" w14:textId="08564D46">
            <w:pPr>
              <w:bidi w:val="0"/>
              <w:jc w:val="center"/>
              <w:rPr>
                <w:rFonts w:asciiTheme="majorHAnsi" w:hAnsiTheme="majorHAnsi" w:cstheme="majorHAnsi"/>
              </w:rPr>
            </w:pPr>
            <w:r>
              <w:rPr>
                <w:rFonts w:asciiTheme="majorHAnsi" w:hAnsiTheme="majorHAnsi" w:cstheme="majorHAnsi"/>
                <w:rtl w:val="0"/>
                <w:lang w:val="pt-BR"/>
              </w:rPr>
              <w:t>Romênia</w:t>
            </w:r>
          </w:p>
        </w:tc>
        <w:tc>
          <w:tcPr>
            <w:tcW w:w="3090" w:type="dxa"/>
            <w:vAlign w:val="center"/>
          </w:tcPr>
          <w:p w:rsidR="00484EE0" w:rsidP="00484EE0" w14:paraId="02E6CFE4" w14:textId="598B20CD">
            <w:pPr>
              <w:bidi w:val="0"/>
              <w:jc w:val="center"/>
              <w:rPr>
                <w:rFonts w:asciiTheme="majorHAnsi" w:hAnsiTheme="majorHAnsi" w:cstheme="majorHAnsi"/>
              </w:rPr>
            </w:pPr>
            <w:r>
              <w:rPr>
                <w:rFonts w:asciiTheme="majorHAnsi" w:hAnsiTheme="majorHAnsi" w:cstheme="majorHAnsi"/>
                <w:rtl w:val="0"/>
                <w:lang w:val="pt-BR"/>
              </w:rPr>
              <w:t>Raluca Miron</w:t>
            </w:r>
          </w:p>
        </w:tc>
        <w:tc>
          <w:tcPr>
            <w:tcW w:w="5340" w:type="dxa"/>
            <w:vAlign w:val="center"/>
          </w:tcPr>
          <w:p w:rsidR="00484EE0" w:rsidRPr="00484EE0" w:rsidP="00484EE0" w14:paraId="6BC21F3D" w14:textId="59A9B045">
            <w:pPr>
              <w:bidi w:val="0"/>
              <w:jc w:val="center"/>
              <w:rPr>
                <w:rFonts w:asciiTheme="majorHAnsi" w:hAnsiTheme="majorHAnsi" w:cstheme="majorHAnsi"/>
              </w:rPr>
            </w:pPr>
            <w:r w:rsidRPr="001F5235">
              <w:rPr>
                <w:rFonts w:asciiTheme="majorHAnsi" w:hAnsiTheme="majorHAnsi" w:cstheme="majorHAnsi"/>
                <w:rtl w:val="0"/>
                <w:lang w:val="pt-BR"/>
              </w:rPr>
              <w:t>raluca.miron@brinks.com</w:t>
            </w:r>
          </w:p>
        </w:tc>
      </w:tr>
      <w:tr w14:paraId="22E85B7F" w14:textId="77777777" w:rsidTr="3F806670">
        <w:tblPrEx>
          <w:tblW w:w="10315" w:type="dxa"/>
          <w:tblLook w:val="04A0"/>
        </w:tblPrEx>
        <w:trPr>
          <w:trHeight w:val="353"/>
        </w:trPr>
        <w:tc>
          <w:tcPr>
            <w:tcW w:w="1885" w:type="dxa"/>
          </w:tcPr>
          <w:p w:rsidR="008B6C09" w:rsidP="005F53F9" w14:paraId="63324D16" w14:textId="1CA23EBD">
            <w:pPr>
              <w:bidi w:val="0"/>
              <w:jc w:val="center"/>
              <w:rPr>
                <w:rFonts w:asciiTheme="majorHAnsi" w:hAnsiTheme="majorHAnsi" w:cstheme="majorHAnsi"/>
              </w:rPr>
            </w:pPr>
            <w:r>
              <w:rPr>
                <w:rFonts w:asciiTheme="majorHAnsi" w:hAnsiTheme="majorHAnsi" w:cstheme="majorHAnsi"/>
                <w:rtl w:val="0"/>
                <w:lang w:val="pt-BR"/>
              </w:rPr>
              <w:t>República Tcheca</w:t>
            </w:r>
          </w:p>
        </w:tc>
        <w:tc>
          <w:tcPr>
            <w:tcW w:w="3090" w:type="dxa"/>
            <w:vAlign w:val="center"/>
          </w:tcPr>
          <w:p w:rsidR="008B6C09" w:rsidP="00484EE0" w14:paraId="1BC42F05" w14:textId="14736D2F">
            <w:pPr>
              <w:bidi w:val="0"/>
              <w:jc w:val="center"/>
              <w:rPr>
                <w:rFonts w:asciiTheme="majorHAnsi" w:hAnsiTheme="majorHAnsi" w:cstheme="majorHAnsi"/>
              </w:rPr>
            </w:pPr>
            <w:r>
              <w:rPr>
                <w:rFonts w:asciiTheme="majorHAnsi" w:hAnsiTheme="majorHAnsi" w:cstheme="majorHAnsi"/>
                <w:rtl w:val="0"/>
                <w:lang w:val="pt-BR"/>
              </w:rPr>
              <w:t>Petr Zbozinek</w:t>
            </w:r>
          </w:p>
        </w:tc>
        <w:tc>
          <w:tcPr>
            <w:tcW w:w="5340" w:type="dxa"/>
            <w:vAlign w:val="center"/>
          </w:tcPr>
          <w:p w:rsidR="008B6C09" w:rsidRPr="00484EE0" w:rsidP="00484EE0" w14:paraId="504C871E" w14:textId="5E980B3D">
            <w:pPr>
              <w:bidi w:val="0"/>
              <w:jc w:val="center"/>
              <w:rPr>
                <w:rFonts w:asciiTheme="majorHAnsi" w:hAnsiTheme="majorHAnsi" w:cstheme="majorHAnsi"/>
              </w:rPr>
            </w:pPr>
            <w:r w:rsidRPr="00091223">
              <w:rPr>
                <w:rFonts w:asciiTheme="majorHAnsi" w:hAnsiTheme="majorHAnsi" w:cstheme="majorHAnsi"/>
                <w:rtl w:val="0"/>
                <w:lang w:val="pt-BR"/>
              </w:rPr>
              <w:t>petr.zbozinek@brinks.com</w:t>
            </w:r>
          </w:p>
        </w:tc>
      </w:tr>
      <w:tr w14:paraId="04C01C4D" w14:textId="77777777" w:rsidTr="3F806670">
        <w:tblPrEx>
          <w:tblW w:w="10315" w:type="dxa"/>
          <w:tblLook w:val="04A0"/>
        </w:tblPrEx>
        <w:trPr>
          <w:trHeight w:val="353"/>
        </w:trPr>
        <w:tc>
          <w:tcPr>
            <w:tcW w:w="1885" w:type="dxa"/>
          </w:tcPr>
          <w:p w:rsidR="00F67881" w:rsidP="00484EE0" w14:paraId="3F6453A2" w14:textId="5B856BE3">
            <w:pPr>
              <w:bidi w:val="0"/>
              <w:jc w:val="center"/>
              <w:rPr>
                <w:rFonts w:asciiTheme="majorHAnsi" w:hAnsiTheme="majorHAnsi" w:cstheme="majorHAnsi"/>
              </w:rPr>
            </w:pPr>
            <w:r>
              <w:rPr>
                <w:rFonts w:asciiTheme="majorHAnsi" w:hAnsiTheme="majorHAnsi" w:cstheme="majorHAnsi"/>
                <w:rtl w:val="0"/>
                <w:lang w:val="pt-BR"/>
              </w:rPr>
              <w:t>Brasil</w:t>
            </w:r>
          </w:p>
        </w:tc>
        <w:tc>
          <w:tcPr>
            <w:tcW w:w="3090" w:type="dxa"/>
            <w:vAlign w:val="center"/>
          </w:tcPr>
          <w:p w:rsidR="00F67881" w:rsidP="00484EE0" w14:paraId="06E94346" w14:textId="7F2F5865">
            <w:pPr>
              <w:bidi w:val="0"/>
              <w:jc w:val="center"/>
              <w:rPr>
                <w:rFonts w:asciiTheme="majorHAnsi" w:hAnsiTheme="majorHAnsi" w:cstheme="majorHAnsi"/>
              </w:rPr>
            </w:pPr>
            <w:r>
              <w:rPr>
                <w:rFonts w:asciiTheme="majorHAnsi" w:hAnsiTheme="majorHAnsi" w:cstheme="majorHAnsi"/>
                <w:rtl w:val="0"/>
                <w:lang w:val="pt-BR"/>
              </w:rPr>
              <w:t>Adriano Bronzatto</w:t>
            </w:r>
          </w:p>
        </w:tc>
        <w:tc>
          <w:tcPr>
            <w:tcW w:w="5340" w:type="dxa"/>
            <w:vAlign w:val="center"/>
          </w:tcPr>
          <w:p w:rsidR="00F67881" w:rsidRPr="00484EE0" w:rsidP="00484EE0" w14:paraId="3DC68A9A" w14:textId="56580080">
            <w:pPr>
              <w:bidi w:val="0"/>
              <w:jc w:val="center"/>
              <w:rPr>
                <w:rFonts w:asciiTheme="majorHAnsi" w:hAnsiTheme="majorHAnsi" w:cstheme="majorHAnsi"/>
              </w:rPr>
            </w:pPr>
            <w:r w:rsidRPr="00AA4693">
              <w:rPr>
                <w:rFonts w:asciiTheme="majorHAnsi" w:hAnsiTheme="majorHAnsi" w:cstheme="majorHAnsi"/>
                <w:rtl w:val="0"/>
                <w:lang w:val="pt-BR"/>
              </w:rPr>
              <w:t>adriano.bronzatto@brinks.com.br</w:t>
            </w:r>
          </w:p>
        </w:tc>
      </w:tr>
      <w:tr w14:paraId="42D3D8EA" w14:textId="77777777" w:rsidTr="3F806670">
        <w:tblPrEx>
          <w:tblW w:w="10315" w:type="dxa"/>
          <w:tblLook w:val="04A0"/>
        </w:tblPrEx>
        <w:trPr>
          <w:trHeight w:val="353"/>
        </w:trPr>
        <w:tc>
          <w:tcPr>
            <w:tcW w:w="1885" w:type="dxa"/>
          </w:tcPr>
          <w:p w:rsidR="00F67881" w:rsidP="00484EE0" w14:paraId="7B7D7274" w14:textId="1072AFEA">
            <w:pPr>
              <w:bidi w:val="0"/>
              <w:jc w:val="center"/>
              <w:rPr>
                <w:rFonts w:asciiTheme="majorHAnsi" w:hAnsiTheme="majorHAnsi" w:cstheme="majorHAnsi"/>
              </w:rPr>
            </w:pPr>
            <w:r>
              <w:rPr>
                <w:rFonts w:asciiTheme="majorHAnsi" w:hAnsiTheme="majorHAnsi" w:cstheme="majorHAnsi"/>
                <w:rtl w:val="0"/>
                <w:lang w:val="pt-BR"/>
              </w:rPr>
              <w:t>Colômbia</w:t>
            </w:r>
          </w:p>
        </w:tc>
        <w:tc>
          <w:tcPr>
            <w:tcW w:w="3090" w:type="dxa"/>
            <w:vAlign w:val="center"/>
          </w:tcPr>
          <w:p w:rsidR="00F67881" w:rsidP="00484EE0" w14:paraId="169CC0BB" w14:textId="22F2411F">
            <w:pPr>
              <w:bidi w:val="0"/>
              <w:jc w:val="center"/>
              <w:rPr>
                <w:rFonts w:asciiTheme="majorHAnsi" w:hAnsiTheme="majorHAnsi" w:cstheme="majorHAnsi"/>
              </w:rPr>
            </w:pPr>
            <w:r>
              <w:rPr>
                <w:rFonts w:asciiTheme="majorHAnsi" w:hAnsiTheme="majorHAnsi" w:cstheme="majorHAnsi"/>
                <w:rtl w:val="0"/>
                <w:lang w:val="pt-BR"/>
              </w:rPr>
              <w:t>Erika Rodriguez</w:t>
            </w:r>
          </w:p>
        </w:tc>
        <w:tc>
          <w:tcPr>
            <w:tcW w:w="5340" w:type="dxa"/>
            <w:vAlign w:val="center"/>
          </w:tcPr>
          <w:p w:rsidR="00F67881" w:rsidRPr="00484EE0" w:rsidP="3F806670" w14:paraId="169A91B0" w14:textId="60824281">
            <w:pPr>
              <w:bidi w:val="0"/>
              <w:jc w:val="center"/>
              <w:rPr>
                <w:rFonts w:asciiTheme="majorHAnsi" w:hAnsiTheme="majorHAnsi" w:cstheme="majorBidi"/>
              </w:rPr>
            </w:pPr>
            <w:r w:rsidRPr="3F806670">
              <w:rPr>
                <w:rFonts w:asciiTheme="majorHAnsi" w:hAnsiTheme="majorHAnsi" w:cstheme="majorBidi"/>
                <w:rtl w:val="0"/>
                <w:lang w:val="pt-BR"/>
              </w:rPr>
              <w:t>erika.rodriguez@brinks.com.com</w:t>
            </w:r>
          </w:p>
        </w:tc>
      </w:tr>
      <w:tr w14:paraId="7B5E2649" w14:textId="77777777" w:rsidTr="3F806670">
        <w:tblPrEx>
          <w:tblW w:w="10315" w:type="dxa"/>
          <w:tblLook w:val="04A0"/>
        </w:tblPrEx>
        <w:trPr>
          <w:trHeight w:val="197"/>
        </w:trPr>
        <w:tc>
          <w:tcPr>
            <w:tcW w:w="1885" w:type="dxa"/>
          </w:tcPr>
          <w:p w:rsidR="002B0A60" w:rsidP="00CF447D" w14:paraId="76BEDE5C" w14:textId="303EABB9">
            <w:pPr>
              <w:bidi w:val="0"/>
              <w:jc w:val="center"/>
              <w:rPr>
                <w:rFonts w:asciiTheme="majorHAnsi" w:hAnsiTheme="majorHAnsi" w:cstheme="majorHAnsi"/>
              </w:rPr>
            </w:pPr>
            <w:r>
              <w:rPr>
                <w:rFonts w:asciiTheme="majorHAnsi" w:hAnsiTheme="majorHAnsi" w:cstheme="majorHAnsi"/>
                <w:rtl w:val="0"/>
                <w:lang w:val="pt-BR"/>
              </w:rPr>
              <w:t>Chile</w:t>
            </w:r>
          </w:p>
        </w:tc>
        <w:tc>
          <w:tcPr>
            <w:tcW w:w="3090" w:type="dxa"/>
            <w:vAlign w:val="center"/>
          </w:tcPr>
          <w:p w:rsidR="002B0A60" w:rsidP="00484EE0" w14:paraId="136575FF" w14:textId="284C8279">
            <w:pPr>
              <w:bidi w:val="0"/>
              <w:jc w:val="center"/>
              <w:rPr>
                <w:rFonts w:asciiTheme="majorHAnsi" w:hAnsiTheme="majorHAnsi" w:cstheme="majorHAnsi"/>
              </w:rPr>
            </w:pPr>
            <w:r w:rsidRPr="00262C88">
              <w:rPr>
                <w:rFonts w:asciiTheme="majorHAnsi" w:hAnsiTheme="majorHAnsi" w:cstheme="majorHAnsi"/>
                <w:rtl w:val="0"/>
                <w:lang w:val="pt-BR"/>
              </w:rPr>
              <w:t>Eduardo Varetto Ramos</w:t>
            </w:r>
          </w:p>
        </w:tc>
        <w:tc>
          <w:tcPr>
            <w:tcW w:w="5340" w:type="dxa"/>
            <w:vAlign w:val="center"/>
          </w:tcPr>
          <w:p w:rsidR="002B0A60" w:rsidRPr="00262C88" w:rsidP="00484EE0" w14:paraId="366C7F58" w14:textId="3EE630B6">
            <w:pPr>
              <w:bidi w:val="0"/>
              <w:jc w:val="center"/>
              <w:rPr>
                <w:rFonts w:asciiTheme="majorHAnsi" w:hAnsiTheme="majorHAnsi" w:cstheme="majorHAnsi"/>
              </w:rPr>
            </w:pPr>
            <w:hyperlink r:id="rId11" w:history="1">
              <w:r w:rsidRPr="005F53F9">
                <w:rPr>
                  <w:rFonts w:asciiTheme="majorHAnsi" w:hAnsiTheme="majorHAnsi" w:cstheme="majorHAnsi"/>
                  <w:rtl w:val="0"/>
                  <w:lang w:val="pt-BR"/>
                </w:rPr>
                <w:t>EVaretto@brinks.com</w:t>
              </w:r>
            </w:hyperlink>
          </w:p>
        </w:tc>
      </w:tr>
      <w:tr w14:paraId="49EEEE0E" w14:textId="77777777" w:rsidTr="3F806670">
        <w:tblPrEx>
          <w:tblW w:w="10315" w:type="dxa"/>
          <w:tblLook w:val="04A0"/>
        </w:tblPrEx>
        <w:trPr>
          <w:trHeight w:val="353"/>
        </w:trPr>
        <w:tc>
          <w:tcPr>
            <w:tcW w:w="1885" w:type="dxa"/>
          </w:tcPr>
          <w:p w:rsidR="00072C53" w:rsidP="00CF447D" w14:paraId="7EF8515C" w14:textId="65FE69BF">
            <w:pPr>
              <w:bidi w:val="0"/>
              <w:jc w:val="center"/>
              <w:rPr>
                <w:rFonts w:asciiTheme="majorHAnsi" w:hAnsiTheme="majorHAnsi" w:cstheme="majorHAnsi"/>
              </w:rPr>
            </w:pPr>
            <w:r>
              <w:rPr>
                <w:rFonts w:asciiTheme="majorHAnsi" w:hAnsiTheme="majorHAnsi" w:cstheme="majorHAnsi"/>
                <w:rtl w:val="0"/>
                <w:lang w:val="pt-BR"/>
              </w:rPr>
              <w:t>México</w:t>
            </w:r>
          </w:p>
        </w:tc>
        <w:tc>
          <w:tcPr>
            <w:tcW w:w="3090" w:type="dxa"/>
            <w:vAlign w:val="center"/>
          </w:tcPr>
          <w:p w:rsidR="00072C53" w:rsidP="00484EE0" w14:paraId="175632BB" w14:textId="0B19DCC2">
            <w:pPr>
              <w:bidi w:val="0"/>
              <w:jc w:val="center"/>
              <w:rPr>
                <w:rFonts w:asciiTheme="majorHAnsi" w:hAnsiTheme="majorHAnsi" w:cstheme="majorHAnsi"/>
              </w:rPr>
            </w:pPr>
            <w:r>
              <w:rPr>
                <w:rFonts w:asciiTheme="majorHAnsi" w:hAnsiTheme="majorHAnsi" w:cstheme="majorHAnsi"/>
                <w:rtl w:val="0"/>
                <w:lang w:val="pt-BR"/>
              </w:rPr>
              <w:t>Ricardo Madrazo</w:t>
            </w:r>
          </w:p>
        </w:tc>
        <w:tc>
          <w:tcPr>
            <w:tcW w:w="5340" w:type="dxa"/>
            <w:vAlign w:val="center"/>
          </w:tcPr>
          <w:p w:rsidR="00072C53" w:rsidRPr="00484EE0" w:rsidP="00484EE0" w14:paraId="60E4F098" w14:textId="0AE11C95">
            <w:pPr>
              <w:bidi w:val="0"/>
              <w:jc w:val="center"/>
              <w:rPr>
                <w:rFonts w:asciiTheme="majorHAnsi" w:hAnsiTheme="majorHAnsi" w:cstheme="majorHAnsi"/>
              </w:rPr>
            </w:pPr>
            <w:r w:rsidRPr="00CF447D">
              <w:rPr>
                <w:rFonts w:asciiTheme="majorHAnsi" w:hAnsiTheme="majorHAnsi" w:cstheme="majorHAnsi"/>
                <w:rtl w:val="0"/>
                <w:lang w:val="pt-BR"/>
              </w:rPr>
              <w:t>ricardo.madrazod@panamericano.mx</w:t>
            </w:r>
          </w:p>
        </w:tc>
      </w:tr>
    </w:tbl>
    <w:p w:rsidR="00355B9F" w:rsidRPr="00B53FC1" w:rsidP="00B53FC1" w14:paraId="080245CB" w14:textId="787EEADA">
      <w:pPr>
        <w:pStyle w:val="Heading1"/>
        <w:bidi w:val="0"/>
        <w:rPr>
          <w:color w:val="auto"/>
        </w:rPr>
      </w:pPr>
      <w:bookmarkStart w:id="105" w:name="_Toc256000030"/>
      <w:r w:rsidRPr="00B53FC1">
        <w:rPr>
          <w:color w:val="auto"/>
          <w:rtl w:val="0"/>
          <w:lang w:val="pt-BR"/>
        </w:rPr>
        <w:t>Diretrizes de adaptação local</w:t>
      </w:r>
      <w:bookmarkEnd w:id="105"/>
    </w:p>
    <w:p w:rsidR="000B76B4" w:rsidRPr="000B76B4" w:rsidP="000B76B4" w14:paraId="23B442AD" w14:textId="77777777"/>
    <w:p w:rsidR="00DC7C5A" w:rsidP="6B3824FD" w14:paraId="1FB170D1" w14:textId="0499E47E">
      <w:pPr>
        <w:bidi w:val="0"/>
        <w:rPr>
          <w:rFonts w:asciiTheme="majorHAnsi" w:hAnsiTheme="majorHAnsi" w:cstheme="majorBidi"/>
        </w:rPr>
      </w:pPr>
      <w:r w:rsidRPr="6B3824FD">
        <w:rPr>
          <w:rFonts w:asciiTheme="majorHAnsi" w:hAnsiTheme="majorHAnsi" w:cstheme="majorBidi"/>
          <w:rtl w:val="0"/>
          <w:lang w:val="pt-BR"/>
        </w:rPr>
        <w:t>Essa política foi definida em nível global para criar padronização em toda a empresa. A política destina-se a fornecer a todos os países da Brink's orientações gerais e proteções para garantir que gerenciemos os gastos de maneira inteligente e disciplinada.</w:t>
      </w:r>
    </w:p>
    <w:p w:rsidR="00DC7C5A" w:rsidP="00DC7C5A" w14:paraId="10B430B0" w14:textId="77777777">
      <w:pPr>
        <w:bidi w:val="0"/>
        <w:rPr>
          <w:rFonts w:asciiTheme="majorHAnsi" w:hAnsiTheme="majorHAnsi" w:cstheme="majorHAnsi"/>
        </w:rPr>
      </w:pPr>
      <w:r w:rsidRPr="00DC7C5A">
        <w:rPr>
          <w:rFonts w:asciiTheme="majorHAnsi" w:hAnsiTheme="majorHAnsi" w:cstheme="majorHAnsi"/>
          <w:rtl w:val="0"/>
          <w:lang w:val="pt-BR"/>
        </w:rPr>
        <w:br/>
        <w:t>No entanto, como parte da implementação, cada país pode precisar revisar essa política e fornecer contexto adicional sobre como ela será operacionalizada para levar em conta as variações locais. Pode haver cenários em que a política global:</w:t>
      </w:r>
    </w:p>
    <w:p w:rsidR="00EE0E28" w:rsidP="00DC7C5A" w14:paraId="747E2A12" w14:textId="77777777">
      <w:pPr>
        <w:rPr>
          <w:rFonts w:asciiTheme="majorHAnsi" w:hAnsiTheme="majorHAnsi" w:cstheme="majorHAnsi"/>
        </w:rPr>
      </w:pPr>
    </w:p>
    <w:p w:rsidR="00DC7C5A" w:rsidRPr="00DC7C5A" w:rsidP="00D20217" w14:paraId="7A9386F3" w14:textId="134A1EA0">
      <w:pPr>
        <w:pStyle w:val="ListParagraph"/>
        <w:numPr>
          <w:ilvl w:val="0"/>
          <w:numId w:val="7"/>
        </w:numPr>
        <w:bidi w:val="0"/>
        <w:rPr>
          <w:rFonts w:asciiTheme="majorHAnsi" w:hAnsiTheme="majorHAnsi" w:cstheme="majorHAnsi"/>
          <w:lang w:val="en-GB"/>
        </w:rPr>
      </w:pPr>
      <w:r w:rsidRPr="00DC7C5A">
        <w:rPr>
          <w:rFonts w:asciiTheme="majorHAnsi" w:hAnsiTheme="majorHAnsi" w:cstheme="majorHAnsi"/>
          <w:rtl w:val="0"/>
          <w:lang w:val="pt-BR"/>
        </w:rPr>
        <w:t>Conflitos com a conformidade local</w:t>
      </w:r>
    </w:p>
    <w:p w:rsidR="00DC7C5A" w:rsidRPr="00DC7C5A" w:rsidP="00D20217" w14:paraId="61EDB25B" w14:textId="75BD82D2">
      <w:pPr>
        <w:pStyle w:val="ListParagraph"/>
        <w:numPr>
          <w:ilvl w:val="0"/>
          <w:numId w:val="7"/>
        </w:numPr>
        <w:bidi w:val="0"/>
        <w:rPr>
          <w:rFonts w:asciiTheme="majorHAnsi" w:hAnsiTheme="majorHAnsi" w:cstheme="majorHAnsi"/>
          <w:lang w:val="en-GB"/>
        </w:rPr>
      </w:pPr>
      <w:r w:rsidRPr="00DC7C5A">
        <w:rPr>
          <w:rFonts w:asciiTheme="majorHAnsi" w:hAnsiTheme="majorHAnsi" w:cstheme="majorHAnsi"/>
          <w:rtl w:val="0"/>
          <w:lang w:val="pt-BR"/>
        </w:rPr>
        <w:t>é menos rigoroso do que as práticas ou políticas locais existentes</w:t>
      </w:r>
    </w:p>
    <w:p w:rsidR="006A3873" w:rsidRPr="00DF21BE" w:rsidP="00DF21BE" w14:paraId="6F7E3D3D" w14:textId="3138E51D">
      <w:pPr>
        <w:pStyle w:val="ListParagraph"/>
        <w:numPr>
          <w:ilvl w:val="0"/>
          <w:numId w:val="7"/>
        </w:numPr>
        <w:bidi w:val="0"/>
        <w:rPr>
          <w:lang w:val="en-GB"/>
        </w:rPr>
      </w:pPr>
      <w:r w:rsidRPr="00DC7C5A">
        <w:rPr>
          <w:rFonts w:asciiTheme="majorHAnsi" w:hAnsiTheme="majorHAnsi" w:cstheme="majorHAnsi"/>
          <w:rtl w:val="0"/>
          <w:lang w:val="pt-BR"/>
        </w:rPr>
        <w:t>fornece orientação direcional para a operacionalização do país – por exemplo, se a aprovação do VP for necessária, cada país pode determinar qual VP específico ou função equivalente fornecerá essa aprovação.</w:t>
      </w:r>
    </w:p>
    <w:p w:rsidR="008E5867" w:rsidP="00DF21BE" w14:paraId="6EA69033" w14:textId="77777777">
      <w:pPr>
        <w:rPr>
          <w:rFonts w:ascii="Calibri (heading)" w:hAnsi="Calibri (heading)"/>
          <w:lang w:val="en-GB"/>
        </w:rPr>
      </w:pPr>
    </w:p>
    <w:p w:rsidR="00DF21BE" w:rsidP="00DF21BE" w14:paraId="72B5449E" w14:textId="317349EC">
      <w:pPr>
        <w:bidi w:val="0"/>
        <w:rPr>
          <w:rFonts w:ascii="Calibri (heading)" w:hAnsi="Calibri (heading)"/>
          <w:lang w:val="en-GB"/>
        </w:rPr>
      </w:pPr>
      <w:r w:rsidRPr="008E5867">
        <w:rPr>
          <w:rFonts w:ascii="Calibri (heading)" w:hAnsi="Calibri (heading)"/>
          <w:rtl w:val="0"/>
          <w:lang w:val="pt-BR"/>
        </w:rPr>
        <w:t>Nos casos em que as leis, políticas ou práticas locais entrem em conflito com a Política Global de Força de Trabalho Contingente, as leis locais substituirão esta Política.</w:t>
      </w:r>
    </w:p>
    <w:p w:rsidR="0040024C" w:rsidP="0040024C" w14:paraId="5B44A417" w14:textId="77777777">
      <w:pPr>
        <w:pStyle w:val="paragraph"/>
        <w:spacing w:before="0" w:beforeAutospacing="0" w:after="0" w:afterAutospacing="0"/>
        <w:textAlignment w:val="baseline"/>
        <w:rPr>
          <w:rFonts w:ascii="Calibri" w:hAnsi="Calibri" w:cs="Calibri"/>
          <w:b/>
          <w:bCs/>
          <w:sz w:val="28"/>
          <w:szCs w:val="28"/>
        </w:rPr>
      </w:pPr>
    </w:p>
    <w:p w:rsidR="0040024C" w:rsidRPr="002436BF" w:rsidP="00592AE0" w14:paraId="37B55440" w14:textId="76D81904">
      <w:pPr>
        <w:pStyle w:val="Heading2"/>
        <w:numPr>
          <w:ilvl w:val="0"/>
          <w:numId w:val="0"/>
        </w:numPr>
        <w:bidi w:val="0"/>
        <w:rPr>
          <w:color w:val="auto"/>
        </w:rPr>
      </w:pPr>
      <w:bookmarkStart w:id="106" w:name="_Toc256000031"/>
      <w:r w:rsidRPr="002436BF">
        <w:rPr>
          <w:color w:val="auto"/>
          <w:rtl w:val="0"/>
          <w:lang w:val="pt-BR"/>
        </w:rPr>
        <w:t>Etapas para adaptação</w:t>
      </w:r>
      <w:bookmarkEnd w:id="106"/>
    </w:p>
    <w:p w:rsidR="0040024C" w:rsidRPr="00E51450" w:rsidP="00AC3259" w14:paraId="426DDDF0" w14:textId="77777777">
      <w:pPr>
        <w:pStyle w:val="Heading3"/>
        <w:numPr>
          <w:ilvl w:val="0"/>
          <w:numId w:val="0"/>
        </w:numPr>
        <w:bidi w:val="0"/>
        <w:rPr>
          <w:rFonts w:ascii="Calibri" w:hAnsi="Calibri" w:cs="Calibri"/>
          <w:color w:val="auto"/>
        </w:rPr>
      </w:pPr>
      <w:bookmarkStart w:id="107" w:name="_Toc256000032"/>
      <w:r w:rsidRPr="00E51450">
        <w:rPr>
          <w:rFonts w:ascii="Calibri" w:hAnsi="Calibri" w:cs="Calibri"/>
          <w:color w:val="auto"/>
          <w:rtl w:val="0"/>
          <w:lang w:val="pt-BR"/>
        </w:rPr>
        <w:t>1. Revisão e avaliação</w:t>
      </w:r>
      <w:bookmarkEnd w:id="107"/>
    </w:p>
    <w:p w:rsidR="0040024C" w:rsidRPr="00E67163" w:rsidP="0040024C" w14:paraId="0BE80CFE" w14:textId="77777777">
      <w:pPr>
        <w:pStyle w:val="paragraph"/>
        <w:numPr>
          <w:ilvl w:val="0"/>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Análise</w:t>
      </w:r>
      <w:r w:rsidRPr="00E67163">
        <w:rPr>
          <w:rFonts w:ascii="Calibri" w:hAnsi="Calibri" w:cs="Calibri"/>
          <w:b/>
          <w:bCs/>
          <w:rtl w:val="0"/>
          <w:lang w:val="pt-BR"/>
        </w:rPr>
        <w:t xml:space="preserve"> </w:t>
      </w:r>
      <w:r w:rsidRPr="00E67163">
        <w:rPr>
          <w:rFonts w:ascii="Calibri" w:hAnsi="Calibri" w:cs="Calibri"/>
          <w:rtl w:val="0"/>
          <w:lang w:val="pt-BR"/>
        </w:rPr>
        <w:t>de lacunas: Identifique as áreas em que a política global:</w:t>
      </w:r>
    </w:p>
    <w:p w:rsidR="0040024C" w:rsidRPr="00E67163" w:rsidP="0040024C" w14:paraId="604726B7"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Conflitos com regulamentos locais.</w:t>
      </w:r>
    </w:p>
    <w:p w:rsidR="0040024C" w:rsidRPr="00E67163" w:rsidP="0040024C" w14:paraId="24A52E66"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É menos rigoroso do que as políticas locais existentes.</w:t>
      </w:r>
    </w:p>
    <w:p w:rsidR="0040024C" w:rsidRPr="00E67163" w:rsidP="0040024C" w14:paraId="6FF1B274"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Requer clareza adicional para aplicação prática.</w:t>
      </w:r>
    </w:p>
    <w:p w:rsidR="0040024C" w:rsidP="0040024C" w14:paraId="2657FD36" w14:textId="77777777">
      <w:pPr>
        <w:pStyle w:val="paragraph"/>
        <w:numPr>
          <w:ilvl w:val="0"/>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Verificação</w:t>
      </w:r>
      <w:r w:rsidRPr="00E67163">
        <w:rPr>
          <w:rFonts w:ascii="Calibri" w:hAnsi="Calibri" w:cs="Calibri"/>
          <w:b/>
          <w:bCs/>
          <w:rtl w:val="0"/>
          <w:lang w:val="pt-BR"/>
        </w:rPr>
        <w:t xml:space="preserve"> </w:t>
      </w:r>
      <w:r w:rsidRPr="00E67163">
        <w:rPr>
          <w:rFonts w:ascii="Calibri" w:hAnsi="Calibri" w:cs="Calibri"/>
          <w:rtl w:val="0"/>
          <w:lang w:val="pt-BR"/>
        </w:rPr>
        <w:t>de conformidade: Garanta o alinhamento com todas as leis e regulamentos locais aplicáveis.</w:t>
      </w:r>
    </w:p>
    <w:p w:rsidR="0040024C" w:rsidRPr="00E67163" w:rsidP="0040024C" w14:paraId="1899B7D8" w14:textId="77777777">
      <w:pPr>
        <w:pStyle w:val="paragraph"/>
        <w:spacing w:before="0" w:beforeAutospacing="0" w:after="0" w:afterAutospacing="0"/>
        <w:ind w:left="360"/>
        <w:textAlignment w:val="baseline"/>
        <w:rPr>
          <w:rFonts w:ascii="Calibri" w:hAnsi="Calibri" w:cs="Calibri"/>
        </w:rPr>
      </w:pPr>
    </w:p>
    <w:p w:rsidR="0040024C" w:rsidRPr="00E51450" w:rsidP="00592AE0" w14:paraId="5C2E87EC" w14:textId="77777777">
      <w:pPr>
        <w:pStyle w:val="Heading3"/>
        <w:numPr>
          <w:ilvl w:val="0"/>
          <w:numId w:val="0"/>
        </w:numPr>
        <w:bidi w:val="0"/>
        <w:rPr>
          <w:color w:val="auto"/>
        </w:rPr>
      </w:pPr>
      <w:bookmarkStart w:id="108" w:name="_Toc256000033"/>
      <w:r w:rsidRPr="00E51450">
        <w:rPr>
          <w:color w:val="auto"/>
          <w:rtl w:val="0"/>
          <w:lang w:val="pt-BR"/>
        </w:rPr>
        <w:t>2. Contextualização local</w:t>
      </w:r>
      <w:bookmarkEnd w:id="108"/>
    </w:p>
    <w:p w:rsidR="0040024C" w:rsidRPr="00E67163" w:rsidP="0040024C" w14:paraId="00215A41" w14:textId="77777777">
      <w:pPr>
        <w:pStyle w:val="paragraph"/>
        <w:numPr>
          <w:ilvl w:val="0"/>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Desenvolva uma versão localizada da política que:</w:t>
      </w:r>
    </w:p>
    <w:p w:rsidR="0040024C" w:rsidRPr="00E67163" w:rsidP="0040024C" w14:paraId="1A902A36"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Mantém a intenção da política global.</w:t>
      </w:r>
    </w:p>
    <w:p w:rsidR="0040024C" w:rsidRPr="00E67163" w:rsidP="0040024C" w14:paraId="27B00EBF"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Integra requisitos locais mais rigorosos ou exclusivos.</w:t>
      </w:r>
    </w:p>
    <w:p w:rsidR="0040024C" w:rsidRPr="00E67163" w:rsidP="0040024C" w14:paraId="28326EEA"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pt-BR"/>
        </w:rPr>
        <w:t>Fornece etapas claras e acionáveis para operacionalização.</w:t>
      </w:r>
    </w:p>
    <w:p w:rsidR="0040024C" w:rsidRPr="00592AE0" w:rsidP="00592AE0" w14:paraId="31D5D589" w14:textId="77777777">
      <w:pPr>
        <w:pStyle w:val="Heading3"/>
        <w:numPr>
          <w:ilvl w:val="0"/>
          <w:numId w:val="0"/>
        </w:numPr>
        <w:bidi w:val="0"/>
        <w:rPr>
          <w:color w:val="auto"/>
        </w:rPr>
      </w:pPr>
      <w:bookmarkStart w:id="109" w:name="_Toc256000034"/>
      <w:r w:rsidRPr="00592AE0">
        <w:rPr>
          <w:color w:val="auto"/>
          <w:rtl w:val="0"/>
          <w:lang w:val="pt-BR"/>
        </w:rPr>
        <w:t>3. Processo de aprovação</w:t>
      </w:r>
      <w:bookmarkEnd w:id="109"/>
    </w:p>
    <w:p w:rsidR="0040024C" w:rsidRPr="008270D5" w:rsidP="0040024C" w14:paraId="736DAA07" w14:textId="77777777">
      <w:pPr>
        <w:pStyle w:val="paragraph"/>
        <w:bidi w:val="0"/>
        <w:spacing w:before="0" w:beforeAutospacing="0" w:after="0" w:afterAutospacing="0"/>
        <w:textAlignment w:val="baseline"/>
        <w:rPr>
          <w:rFonts w:ascii="Calibri" w:hAnsi="Calibri" w:cs="Calibri"/>
        </w:rPr>
      </w:pPr>
      <w:r w:rsidRPr="008270D5">
        <w:rPr>
          <w:rFonts w:ascii="Calibri" w:hAnsi="Calibri" w:cs="Calibri"/>
          <w:rtl w:val="0"/>
          <w:lang w:val="pt-BR"/>
        </w:rPr>
        <w:t>As adaptações à política global devem passar pelas seguintes etapas de aprovação:</w:t>
      </w:r>
    </w:p>
    <w:p w:rsidR="0040024C" w:rsidRPr="008270D5" w:rsidP="0040024C" w14:paraId="5120D6C3"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pt-BR"/>
        </w:rPr>
        <w:t>Rascunho de proposta:</w:t>
        <w:br/>
        <w:t>Envie uma proposta detalhada descrevendo:</w:t>
      </w:r>
    </w:p>
    <w:p w:rsidR="0040024C" w:rsidRPr="008270D5" w:rsidP="0040024C" w14:paraId="73DBD95E"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pt-BR"/>
        </w:rPr>
        <w:t>A variação ou conflito local identificado.</w:t>
      </w:r>
    </w:p>
    <w:p w:rsidR="0040024C" w:rsidRPr="008270D5" w:rsidP="0040024C" w14:paraId="542EE5E1"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pt-BR"/>
        </w:rPr>
        <w:t>A justificativa para a adaptação proposta.</w:t>
      </w:r>
    </w:p>
    <w:p w:rsidR="0040024C" w:rsidRPr="008270D5" w:rsidP="0040024C" w14:paraId="2635D6F6"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pt-BR"/>
        </w:rPr>
        <w:t>Evidência de conformidade com os regulamentos locais.</w:t>
      </w:r>
    </w:p>
    <w:p w:rsidR="0040024C" w:rsidRPr="008270D5" w:rsidP="0040024C" w14:paraId="7A845642"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pt-BR"/>
        </w:rPr>
        <w:t>Revisão pelo Conselho Geral Regional:</w:t>
        <w:br/>
        <w:t>Certifique-se de que a adaptação proposta esteja em conformidade com os requisitos legais e não exponha a Brinks a riscos desnecessários.</w:t>
      </w:r>
    </w:p>
    <w:p w:rsidR="0040024C" w:rsidRPr="008270D5" w:rsidP="0040024C" w14:paraId="41EE1956"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pt-BR"/>
        </w:rPr>
        <w:t>Revisão por HR VP/SVP:</w:t>
        <w:br/>
        <w:t>Confirme o alinhamento com os objetivos, políticas e padrões corporativos de RH.</w:t>
      </w:r>
    </w:p>
    <w:p w:rsidR="0040024C" w:rsidP="0040024C" w14:paraId="664EDFB7"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pt-BR"/>
        </w:rPr>
        <w:t xml:space="preserve">Aprovação final: A </w:t>
        <w:br/>
        <w:t>aprovação do Conselho Geral Regional e do CHRO Global é obrigatória antes da implementação.</w:t>
      </w:r>
    </w:p>
    <w:p w:rsidR="0040024C" w:rsidP="0040024C" w14:paraId="7AE969C3" w14:textId="77777777">
      <w:pPr>
        <w:pStyle w:val="paragraph"/>
        <w:spacing w:before="0" w:beforeAutospacing="0" w:after="0" w:afterAutospacing="0"/>
        <w:textAlignment w:val="baseline"/>
        <w:rPr>
          <w:rFonts w:ascii="Calibri" w:hAnsi="Calibri" w:cs="Calibri"/>
        </w:rPr>
      </w:pPr>
    </w:p>
    <w:p w:rsidR="0040024C" w:rsidRPr="008270D5" w:rsidP="0040024C" w14:paraId="678B4876" w14:textId="77777777">
      <w:pPr>
        <w:pStyle w:val="paragraph"/>
        <w:bidi w:val="0"/>
        <w:spacing w:before="0" w:beforeAutospacing="0" w:after="0" w:afterAutospacing="0"/>
        <w:textAlignment w:val="baseline"/>
        <w:rPr>
          <w:rFonts w:ascii="Calibri" w:hAnsi="Calibri" w:cs="Calibri"/>
          <w:b/>
          <w:bCs/>
          <w:sz w:val="28"/>
          <w:szCs w:val="28"/>
        </w:rPr>
      </w:pPr>
      <w:r w:rsidRPr="00EE3125">
        <w:rPr>
          <w:rFonts w:ascii="Calibri" w:hAnsi="Calibri" w:cs="Calibri"/>
          <w:b/>
          <w:bCs/>
          <w:sz w:val="28"/>
          <w:szCs w:val="28"/>
          <w:rtl w:val="0"/>
          <w:lang w:val="pt-BR"/>
        </w:rPr>
        <w:t>Modelo para submissão de adaptação local</w:t>
      </w:r>
    </w:p>
    <w:p w:rsidR="0040024C" w:rsidP="0040024C" w14:paraId="6567C2FD" w14:textId="77777777">
      <w:pPr>
        <w:pStyle w:val="paragraph"/>
        <w:spacing w:before="0" w:beforeAutospacing="0" w:after="0" w:afterAutospacing="0"/>
        <w:textAlignment w:val="baseline"/>
        <w:rPr>
          <w:rFonts w:ascii="Calibri" w:hAnsi="Calibri" w:cs="Calibri"/>
        </w:rPr>
      </w:pPr>
    </w:p>
    <w:tbl>
      <w:tblPr>
        <w:tblStyle w:val="TableGrid"/>
        <w:tblW w:w="0" w:type="auto"/>
        <w:tblLook w:val="04A0"/>
      </w:tblPr>
      <w:tblGrid>
        <w:gridCol w:w="2695"/>
        <w:gridCol w:w="6655"/>
      </w:tblGrid>
      <w:tr w14:paraId="192C889D" w14:textId="77777777" w:rsidTr="00202823">
        <w:tblPrEx>
          <w:tblW w:w="0" w:type="auto"/>
          <w:tblLook w:val="04A0"/>
        </w:tblPrEx>
        <w:tc>
          <w:tcPr>
            <w:tcW w:w="2695" w:type="dxa"/>
            <w:shd w:val="clear" w:color="auto" w:fill="C6D9F0" w:themeFill="text2" w:themeFillTint="33"/>
          </w:tcPr>
          <w:p w:rsidR="0040024C" w:rsidRPr="000E1269" w:rsidP="00202823" w14:paraId="58B041DE" w14:textId="77777777">
            <w:pPr>
              <w:bidi w:val="0"/>
              <w:jc w:val="center"/>
              <w:rPr>
                <w:rFonts w:ascii="Calibri" w:hAnsi="Calibri" w:cs="Calibri"/>
                <w:b/>
                <w:bCs/>
              </w:rPr>
            </w:pPr>
            <w:r w:rsidRPr="000E1269">
              <w:rPr>
                <w:rFonts w:ascii="Calibri" w:hAnsi="Calibri" w:cs="Calibri"/>
                <w:b/>
                <w:bCs/>
                <w:rtl w:val="0"/>
                <w:lang w:val="pt-BR"/>
              </w:rPr>
              <w:t>Secção</w:t>
            </w:r>
          </w:p>
        </w:tc>
        <w:tc>
          <w:tcPr>
            <w:tcW w:w="6655" w:type="dxa"/>
            <w:shd w:val="clear" w:color="auto" w:fill="C6D9F0" w:themeFill="text2" w:themeFillTint="33"/>
          </w:tcPr>
          <w:p w:rsidR="0040024C" w:rsidRPr="000E1269" w:rsidP="00202823" w14:paraId="7CDBD94E" w14:textId="77777777">
            <w:pPr>
              <w:bidi w:val="0"/>
              <w:jc w:val="center"/>
              <w:rPr>
                <w:rFonts w:ascii="Calibri" w:hAnsi="Calibri" w:cs="Calibri"/>
                <w:b/>
                <w:bCs/>
              </w:rPr>
            </w:pPr>
            <w:r w:rsidRPr="000E1269">
              <w:rPr>
                <w:rFonts w:ascii="Calibri" w:hAnsi="Calibri" w:cs="Calibri"/>
                <w:b/>
                <w:bCs/>
                <w:rtl w:val="0"/>
                <w:lang w:val="pt-BR"/>
              </w:rPr>
              <w:t>Detalhes</w:t>
            </w:r>
          </w:p>
        </w:tc>
      </w:tr>
      <w:tr w14:paraId="2C567F9C" w14:textId="77777777" w:rsidTr="00842544">
        <w:tblPrEx>
          <w:tblW w:w="0" w:type="auto"/>
          <w:tblLook w:val="04A0"/>
        </w:tblPrEx>
        <w:tc>
          <w:tcPr>
            <w:tcW w:w="2695" w:type="dxa"/>
          </w:tcPr>
          <w:p w:rsidR="0040024C" w:rsidRPr="00696E59" w:rsidP="00842544" w14:paraId="5C81AB80" w14:textId="77777777">
            <w:pPr>
              <w:bidi w:val="0"/>
              <w:jc w:val="both"/>
              <w:rPr>
                <w:rFonts w:ascii="Calibri" w:hAnsi="Calibri" w:cs="Calibri"/>
                <w:b/>
                <w:bCs/>
              </w:rPr>
            </w:pPr>
            <w:r w:rsidRPr="00696E59">
              <w:rPr>
                <w:rFonts w:ascii="Calibri" w:hAnsi="Calibri" w:cs="Calibri"/>
                <w:b/>
                <w:bCs/>
                <w:rtl w:val="0"/>
                <w:lang w:val="pt-BR"/>
              </w:rPr>
              <w:t>País/Região</w:t>
            </w:r>
          </w:p>
        </w:tc>
        <w:tc>
          <w:tcPr>
            <w:tcW w:w="6655" w:type="dxa"/>
          </w:tcPr>
          <w:p w:rsidR="0040024C" w:rsidRPr="009E79C0" w:rsidP="00842544" w14:paraId="759D3DBD" w14:textId="77777777">
            <w:pPr>
              <w:bidi w:val="0"/>
              <w:jc w:val="both"/>
              <w:rPr>
                <w:rFonts w:ascii="Calibri" w:hAnsi="Calibri" w:cs="Calibri"/>
              </w:rPr>
            </w:pPr>
            <w:r w:rsidRPr="009E79C0">
              <w:rPr>
                <w:rFonts w:ascii="Calibri" w:hAnsi="Calibri" w:cs="Calibri"/>
                <w:rtl w:val="0"/>
                <w:lang w:val="pt-BR"/>
              </w:rPr>
              <w:t>País ou região específica onde a adaptação é necessária</w:t>
            </w:r>
          </w:p>
        </w:tc>
      </w:tr>
      <w:tr w14:paraId="4AF762F2" w14:textId="77777777" w:rsidTr="00842544">
        <w:tblPrEx>
          <w:tblW w:w="0" w:type="auto"/>
          <w:tblLook w:val="04A0"/>
        </w:tblPrEx>
        <w:tc>
          <w:tcPr>
            <w:tcW w:w="2695" w:type="dxa"/>
          </w:tcPr>
          <w:p w:rsidR="0040024C" w:rsidRPr="00696E59" w:rsidP="00842544" w14:paraId="0D6A5892" w14:textId="77777777">
            <w:pPr>
              <w:bidi w:val="0"/>
              <w:jc w:val="both"/>
              <w:rPr>
                <w:rFonts w:ascii="Calibri" w:hAnsi="Calibri" w:cs="Calibri"/>
                <w:b/>
                <w:bCs/>
              </w:rPr>
            </w:pPr>
            <w:r>
              <w:rPr>
                <w:rFonts w:ascii="Calibri" w:hAnsi="Calibri" w:cs="Calibri"/>
                <w:b/>
                <w:bCs/>
                <w:rtl w:val="0"/>
                <w:lang w:val="pt-BR"/>
              </w:rPr>
              <w:t>Referência de política global</w:t>
            </w:r>
          </w:p>
        </w:tc>
        <w:tc>
          <w:tcPr>
            <w:tcW w:w="6655" w:type="dxa"/>
          </w:tcPr>
          <w:p w:rsidR="0040024C" w:rsidRPr="009E79C0" w:rsidP="00842544" w14:paraId="43D484CC" w14:textId="77777777">
            <w:pPr>
              <w:bidi w:val="0"/>
              <w:jc w:val="both"/>
              <w:rPr>
                <w:rFonts w:ascii="Calibri" w:hAnsi="Calibri" w:cs="Calibri"/>
              </w:rPr>
            </w:pPr>
            <w:r w:rsidRPr="009E79C0">
              <w:rPr>
                <w:rFonts w:ascii="Calibri" w:hAnsi="Calibri" w:cs="Calibri"/>
                <w:rtl w:val="0"/>
                <w:lang w:val="pt-BR"/>
              </w:rPr>
              <w:t>Identificar a seção específica da política global</w:t>
            </w:r>
          </w:p>
        </w:tc>
      </w:tr>
      <w:tr w14:paraId="0D2D7B76" w14:textId="77777777" w:rsidTr="00842544">
        <w:tblPrEx>
          <w:tblW w:w="0" w:type="auto"/>
          <w:tblLook w:val="04A0"/>
        </w:tblPrEx>
        <w:tc>
          <w:tcPr>
            <w:tcW w:w="2695" w:type="dxa"/>
          </w:tcPr>
          <w:p w:rsidR="0040024C" w:rsidRPr="00696E59" w:rsidP="00842544" w14:paraId="0F9BB9C8" w14:textId="77777777">
            <w:pPr>
              <w:bidi w:val="0"/>
              <w:jc w:val="both"/>
              <w:rPr>
                <w:rFonts w:ascii="Calibri" w:hAnsi="Calibri" w:cs="Calibri"/>
                <w:b/>
                <w:bCs/>
              </w:rPr>
            </w:pPr>
            <w:r>
              <w:rPr>
                <w:rFonts w:ascii="Calibri" w:hAnsi="Calibri" w:cs="Calibri"/>
                <w:b/>
                <w:bCs/>
                <w:rtl w:val="0"/>
                <w:lang w:val="pt-BR"/>
              </w:rPr>
              <w:t>Variação local identificada</w:t>
            </w:r>
          </w:p>
        </w:tc>
        <w:tc>
          <w:tcPr>
            <w:tcW w:w="6655" w:type="dxa"/>
          </w:tcPr>
          <w:p w:rsidR="0040024C" w:rsidRPr="009E79C0" w:rsidP="00842544" w14:paraId="6432D54B" w14:textId="77777777">
            <w:pPr>
              <w:bidi w:val="0"/>
              <w:jc w:val="both"/>
              <w:rPr>
                <w:rFonts w:ascii="Calibri" w:hAnsi="Calibri" w:cs="Calibri"/>
              </w:rPr>
            </w:pPr>
            <w:r>
              <w:rPr>
                <w:rFonts w:ascii="Calibri" w:hAnsi="Calibri" w:cs="Calibri"/>
                <w:rtl w:val="0"/>
                <w:lang w:val="pt-BR"/>
              </w:rPr>
              <w:t>Descreveu o conflito / problema com a política global</w:t>
            </w:r>
          </w:p>
        </w:tc>
      </w:tr>
      <w:tr w14:paraId="346DDD28" w14:textId="77777777" w:rsidTr="00842544">
        <w:tblPrEx>
          <w:tblW w:w="0" w:type="auto"/>
          <w:tblLook w:val="04A0"/>
        </w:tblPrEx>
        <w:tc>
          <w:tcPr>
            <w:tcW w:w="2695" w:type="dxa"/>
          </w:tcPr>
          <w:p w:rsidR="0040024C" w:rsidRPr="00696E59" w:rsidP="00842544" w14:paraId="24E60FD9" w14:textId="77777777">
            <w:pPr>
              <w:bidi w:val="0"/>
              <w:jc w:val="both"/>
              <w:rPr>
                <w:rFonts w:ascii="Calibri" w:hAnsi="Calibri" w:cs="Calibri"/>
                <w:b/>
                <w:bCs/>
              </w:rPr>
            </w:pPr>
            <w:r>
              <w:rPr>
                <w:rFonts w:ascii="Calibri" w:hAnsi="Calibri" w:cs="Calibri"/>
                <w:b/>
                <w:bCs/>
                <w:rtl w:val="0"/>
                <w:lang w:val="pt-BR"/>
              </w:rPr>
              <w:t>Adaptação proposta</w:t>
            </w:r>
          </w:p>
        </w:tc>
        <w:tc>
          <w:tcPr>
            <w:tcW w:w="6655" w:type="dxa"/>
          </w:tcPr>
          <w:p w:rsidR="0040024C" w:rsidRPr="009E79C0" w:rsidP="00842544" w14:paraId="28FAB13B" w14:textId="77777777">
            <w:pPr>
              <w:bidi w:val="0"/>
              <w:jc w:val="both"/>
              <w:rPr>
                <w:rFonts w:ascii="Calibri" w:hAnsi="Calibri" w:cs="Calibri"/>
              </w:rPr>
            </w:pPr>
            <w:r>
              <w:rPr>
                <w:rFonts w:ascii="Calibri" w:hAnsi="Calibri" w:cs="Calibri"/>
                <w:rtl w:val="0"/>
                <w:lang w:val="pt-BR"/>
              </w:rPr>
              <w:t>Descreva as alterações ou adições propostas</w:t>
            </w:r>
          </w:p>
        </w:tc>
      </w:tr>
      <w:tr w14:paraId="74E9696B" w14:textId="77777777" w:rsidTr="00842544">
        <w:tblPrEx>
          <w:tblW w:w="0" w:type="auto"/>
          <w:tblLook w:val="04A0"/>
        </w:tblPrEx>
        <w:tc>
          <w:tcPr>
            <w:tcW w:w="2695" w:type="dxa"/>
          </w:tcPr>
          <w:p w:rsidR="0040024C" w:rsidRPr="00696E59" w:rsidP="00842544" w14:paraId="75CA0E43" w14:textId="77777777">
            <w:pPr>
              <w:bidi w:val="0"/>
              <w:jc w:val="both"/>
              <w:rPr>
                <w:rFonts w:ascii="Calibri" w:hAnsi="Calibri" w:cs="Calibri"/>
                <w:b/>
                <w:bCs/>
              </w:rPr>
            </w:pPr>
            <w:r>
              <w:rPr>
                <w:rFonts w:ascii="Calibri" w:hAnsi="Calibri" w:cs="Calibri"/>
                <w:b/>
                <w:bCs/>
                <w:rtl w:val="0"/>
                <w:lang w:val="pt-BR"/>
              </w:rPr>
              <w:t>Justificativa de conformidade</w:t>
            </w:r>
          </w:p>
        </w:tc>
        <w:tc>
          <w:tcPr>
            <w:tcW w:w="6655" w:type="dxa"/>
          </w:tcPr>
          <w:p w:rsidR="0040024C" w:rsidRPr="009E79C0" w:rsidP="00842544" w14:paraId="63920C29" w14:textId="77777777">
            <w:pPr>
              <w:bidi w:val="0"/>
              <w:jc w:val="both"/>
              <w:rPr>
                <w:rFonts w:ascii="Calibri" w:hAnsi="Calibri" w:cs="Calibri"/>
              </w:rPr>
            </w:pPr>
            <w:r>
              <w:rPr>
                <w:rFonts w:ascii="Calibri" w:hAnsi="Calibri" w:cs="Calibri"/>
                <w:rtl w:val="0"/>
                <w:lang w:val="pt-BR"/>
              </w:rPr>
              <w:t>Fornecer evidências de conformidade com os regulamentos locais</w:t>
            </w:r>
          </w:p>
        </w:tc>
      </w:tr>
      <w:tr w14:paraId="0D0608C2" w14:textId="77777777" w:rsidTr="00842544">
        <w:tblPrEx>
          <w:tblW w:w="0" w:type="auto"/>
          <w:tblLook w:val="04A0"/>
        </w:tblPrEx>
        <w:tc>
          <w:tcPr>
            <w:tcW w:w="2695" w:type="dxa"/>
          </w:tcPr>
          <w:p w:rsidR="0040024C" w:rsidRPr="00696E59" w:rsidP="00842544" w14:paraId="397E169F" w14:textId="77777777">
            <w:pPr>
              <w:bidi w:val="0"/>
              <w:jc w:val="both"/>
              <w:rPr>
                <w:rFonts w:ascii="Calibri" w:hAnsi="Calibri" w:cs="Calibri"/>
                <w:b/>
                <w:bCs/>
              </w:rPr>
            </w:pPr>
            <w:r>
              <w:rPr>
                <w:rFonts w:ascii="Calibri" w:hAnsi="Calibri" w:cs="Calibri"/>
                <w:b/>
                <w:bCs/>
                <w:rtl w:val="0"/>
                <w:lang w:val="pt-BR"/>
              </w:rPr>
              <w:t>Plano de Implementação</w:t>
            </w:r>
          </w:p>
        </w:tc>
        <w:tc>
          <w:tcPr>
            <w:tcW w:w="6655" w:type="dxa"/>
          </w:tcPr>
          <w:p w:rsidR="0040024C" w:rsidRPr="009E79C0" w:rsidP="00842544" w14:paraId="3536A934" w14:textId="77777777">
            <w:pPr>
              <w:bidi w:val="0"/>
              <w:jc w:val="both"/>
              <w:rPr>
                <w:rFonts w:ascii="Calibri" w:hAnsi="Calibri" w:cs="Calibri"/>
              </w:rPr>
            </w:pPr>
            <w:r>
              <w:rPr>
                <w:rFonts w:ascii="Calibri" w:hAnsi="Calibri" w:cs="Calibri"/>
                <w:rtl w:val="0"/>
                <w:lang w:val="pt-BR"/>
              </w:rPr>
              <w:t xml:space="preserve">Detalhar como a política adaptada será operacionalizada </w:t>
            </w:r>
          </w:p>
        </w:tc>
      </w:tr>
      <w:tr w14:paraId="6D26719D" w14:textId="77777777" w:rsidTr="00842544">
        <w:tblPrEx>
          <w:tblW w:w="0" w:type="auto"/>
          <w:tblLook w:val="04A0"/>
        </w:tblPrEx>
        <w:tc>
          <w:tcPr>
            <w:tcW w:w="2695" w:type="dxa"/>
          </w:tcPr>
          <w:p w:rsidR="0040024C" w:rsidRPr="00696E59" w:rsidP="00842544" w14:paraId="3B8ABE4A" w14:textId="77777777">
            <w:pPr>
              <w:bidi w:val="0"/>
              <w:jc w:val="both"/>
              <w:rPr>
                <w:rFonts w:ascii="Calibri" w:hAnsi="Calibri" w:cs="Calibri"/>
                <w:b/>
                <w:bCs/>
              </w:rPr>
            </w:pPr>
            <w:r>
              <w:rPr>
                <w:rFonts w:ascii="Calibri" w:hAnsi="Calibri" w:cs="Calibri"/>
                <w:b/>
                <w:bCs/>
                <w:rtl w:val="0"/>
                <w:lang w:val="pt-BR"/>
              </w:rPr>
              <w:t>Assinaturas de aprovação</w:t>
            </w:r>
          </w:p>
        </w:tc>
        <w:tc>
          <w:tcPr>
            <w:tcW w:w="6655" w:type="dxa"/>
          </w:tcPr>
          <w:p w:rsidR="0040024C" w:rsidRPr="009E79C0" w:rsidP="00842544" w14:paraId="54B2DF1E" w14:textId="77777777">
            <w:pPr>
              <w:bidi w:val="0"/>
              <w:jc w:val="both"/>
              <w:rPr>
                <w:rFonts w:ascii="Calibri" w:hAnsi="Calibri" w:cs="Calibri"/>
              </w:rPr>
            </w:pPr>
            <w:r>
              <w:rPr>
                <w:rFonts w:ascii="Calibri" w:hAnsi="Calibri" w:cs="Calibri"/>
                <w:rtl w:val="0"/>
                <w:lang w:val="pt-BR"/>
              </w:rPr>
              <w:t>Inclua linhas para assinaturas do GC Regional &amp; CHRO</w:t>
            </w:r>
          </w:p>
        </w:tc>
      </w:tr>
    </w:tbl>
    <w:p w:rsidR="0040024C" w:rsidP="0040024C" w14:paraId="76E18D91" w14:textId="77777777">
      <w:pPr>
        <w:rPr>
          <w:rFonts w:ascii="Calibri" w:hAnsi="Calibri" w:cs="Calibri"/>
          <w:b/>
          <w:bCs/>
          <w:sz w:val="28"/>
          <w:szCs w:val="28"/>
        </w:rPr>
      </w:pPr>
    </w:p>
    <w:p w:rsidR="0040024C" w:rsidRPr="006F465E" w:rsidP="006F465E" w14:paraId="4600E57E" w14:textId="77777777">
      <w:pPr>
        <w:pStyle w:val="Heading3"/>
        <w:numPr>
          <w:ilvl w:val="0"/>
          <w:numId w:val="0"/>
        </w:numPr>
        <w:bidi w:val="0"/>
        <w:rPr>
          <w:color w:val="auto"/>
        </w:rPr>
      </w:pPr>
      <w:bookmarkStart w:id="110" w:name="_Toc256000035"/>
      <w:r w:rsidRPr="006F465E">
        <w:rPr>
          <w:color w:val="auto"/>
          <w:rtl w:val="0"/>
          <w:lang w:val="pt-BR"/>
        </w:rPr>
        <w:t>4. Comunicação e Treinamento</w:t>
      </w:r>
      <w:bookmarkEnd w:id="110"/>
    </w:p>
    <w:p w:rsidR="0040024C" w:rsidRPr="002D24FF" w:rsidP="0040024C" w14:paraId="2B70E951" w14:textId="77777777">
      <w:pPr>
        <w:pStyle w:val="ListParagraph"/>
        <w:numPr>
          <w:ilvl w:val="0"/>
          <w:numId w:val="9"/>
        </w:numPr>
        <w:bidi w:val="0"/>
        <w:rPr>
          <w:rFonts w:ascii="Calibri" w:hAnsi="Calibri" w:cs="Calibri"/>
        </w:rPr>
      </w:pPr>
      <w:r w:rsidRPr="002D24FF">
        <w:rPr>
          <w:rFonts w:ascii="Calibri" w:hAnsi="Calibri" w:cs="Calibri"/>
          <w:rtl w:val="0"/>
          <w:lang w:val="pt-BR"/>
        </w:rPr>
        <w:t>Fornecer sessões de treinamento para equipes locais para garantir a compreensão e adesão à política adaptada.</w:t>
      </w:r>
    </w:p>
    <w:p w:rsidR="0040024C" w:rsidRPr="00687ACC" w:rsidP="0040024C" w14:paraId="25B39A66" w14:textId="77777777">
      <w:pPr>
        <w:pStyle w:val="ListParagraph"/>
        <w:numPr>
          <w:ilvl w:val="0"/>
          <w:numId w:val="9"/>
        </w:numPr>
        <w:bidi w:val="0"/>
        <w:rPr>
          <w:rFonts w:ascii="Calibri" w:hAnsi="Calibri" w:cs="Calibri"/>
          <w:b/>
          <w:bCs/>
          <w:sz w:val="28"/>
          <w:szCs w:val="28"/>
        </w:rPr>
      </w:pPr>
      <w:r w:rsidRPr="002D24FF">
        <w:rPr>
          <w:rFonts w:ascii="Calibri" w:hAnsi="Calibri" w:cs="Calibri"/>
          <w:rtl w:val="0"/>
          <w:lang w:val="pt-BR"/>
        </w:rPr>
        <w:t>Comunique a lógica por trás das adaptações para promover consistência e adesão em toda a organização.</w:t>
      </w:r>
    </w:p>
    <w:p w:rsidR="0040024C" w:rsidRPr="00AE28E3" w:rsidP="0040024C" w14:paraId="763709F4" w14:textId="77777777">
      <w:pPr>
        <w:pStyle w:val="ListParagraph"/>
        <w:numPr>
          <w:ilvl w:val="0"/>
          <w:numId w:val="9"/>
        </w:numPr>
        <w:bidi w:val="0"/>
        <w:rPr>
          <w:rFonts w:ascii="Calibri" w:hAnsi="Calibri" w:cs="Calibri"/>
          <w:b/>
          <w:bCs/>
          <w:sz w:val="28"/>
          <w:szCs w:val="28"/>
        </w:rPr>
      </w:pPr>
      <w:r>
        <w:rPr>
          <w:rFonts w:ascii="Calibri" w:hAnsi="Calibri" w:cs="Calibri"/>
          <w:rtl w:val="0"/>
          <w:lang w:val="pt-BR"/>
        </w:rPr>
        <w:t>Envie a adaptação final, incluindo assinaturas de aprovação, para a Biblioteca de Recursos da Brinks em Políticas Jurídicas Globais</w:t>
      </w:r>
    </w:p>
    <w:p w:rsidR="0040024C" w:rsidRPr="00AE28E3" w:rsidP="0040024C" w14:paraId="3885B9BF" w14:textId="77777777">
      <w:pPr>
        <w:pStyle w:val="ListParagraph"/>
        <w:rPr>
          <w:rFonts w:ascii="Calibri" w:hAnsi="Calibri" w:cs="Calibri"/>
          <w:b/>
          <w:bCs/>
          <w:sz w:val="28"/>
          <w:szCs w:val="28"/>
        </w:rPr>
      </w:pPr>
    </w:p>
    <w:p w:rsidR="0040024C" w:rsidRPr="009A2E29" w:rsidP="009A2E29" w14:paraId="7D33A1A2" w14:textId="77777777">
      <w:pPr>
        <w:pStyle w:val="Heading3"/>
        <w:numPr>
          <w:ilvl w:val="0"/>
          <w:numId w:val="0"/>
        </w:numPr>
        <w:bidi w:val="0"/>
        <w:rPr>
          <w:color w:val="auto"/>
        </w:rPr>
      </w:pPr>
      <w:bookmarkStart w:id="111" w:name="_Toc256000036"/>
      <w:r w:rsidRPr="009A2E29">
        <w:rPr>
          <w:color w:val="auto"/>
          <w:rtl w:val="0"/>
          <w:lang w:val="pt-BR"/>
        </w:rPr>
        <w:t>5. Monitoramento e relatórios</w:t>
      </w:r>
      <w:bookmarkEnd w:id="111"/>
    </w:p>
    <w:p w:rsidR="0040024C" w:rsidP="0040024C" w14:paraId="40CCCE78" w14:textId="77777777">
      <w:pPr>
        <w:bidi w:val="0"/>
        <w:rPr>
          <w:rFonts w:ascii="Calibri" w:hAnsi="Calibri" w:cs="Calibri"/>
        </w:rPr>
      </w:pPr>
      <w:r>
        <w:rPr>
          <w:rFonts w:ascii="Calibri" w:hAnsi="Calibri" w:cs="Calibri"/>
          <w:rtl w:val="0"/>
          <w:lang w:val="pt-BR"/>
        </w:rPr>
        <w:t>Estabeleça revisões regulares da política (mínimo uma vez por ano) para garantir:</w:t>
      </w:r>
    </w:p>
    <w:p w:rsidR="0040024C" w:rsidRPr="0054752F" w:rsidP="0040024C" w14:paraId="0C19ACEF" w14:textId="77777777">
      <w:pPr>
        <w:pStyle w:val="ListParagraph"/>
        <w:numPr>
          <w:ilvl w:val="0"/>
          <w:numId w:val="9"/>
        </w:numPr>
        <w:bidi w:val="0"/>
        <w:rPr>
          <w:rFonts w:ascii="Calibri" w:hAnsi="Calibri" w:cs="Calibri"/>
        </w:rPr>
      </w:pPr>
      <w:r w:rsidRPr="0054752F">
        <w:rPr>
          <w:rFonts w:ascii="Calibri" w:hAnsi="Calibri" w:cs="Calibri"/>
          <w:rtl w:val="0"/>
          <w:lang w:val="pt-BR"/>
        </w:rPr>
        <w:t>A política adaptada permanece em conformidade com os padrões locais e globais.</w:t>
      </w:r>
    </w:p>
    <w:p w:rsidR="0040024C" w:rsidRPr="0054752F" w:rsidP="0040024C" w14:paraId="500C1069" w14:textId="77777777">
      <w:pPr>
        <w:pStyle w:val="ListParagraph"/>
        <w:numPr>
          <w:ilvl w:val="0"/>
          <w:numId w:val="9"/>
        </w:numPr>
        <w:bidi w:val="0"/>
        <w:rPr>
          <w:rFonts w:ascii="Calibri" w:hAnsi="Calibri" w:cs="Calibri"/>
        </w:rPr>
      </w:pPr>
      <w:r w:rsidRPr="0054752F">
        <w:rPr>
          <w:rFonts w:ascii="Calibri" w:hAnsi="Calibri" w:cs="Calibri"/>
          <w:rtl w:val="0"/>
          <w:lang w:val="pt-BR"/>
        </w:rPr>
        <w:t>O feedback da implementação é usado para refinar adaptações futuras.</w:t>
      </w:r>
    </w:p>
    <w:p w:rsidR="0040024C" w:rsidRPr="0040024C" w:rsidP="00DF21BE" w14:paraId="076E90CA" w14:textId="77777777">
      <w:pPr>
        <w:rPr>
          <w:rFonts w:ascii="Calibri (heading)" w:hAnsi="Calibri (heading)"/>
        </w:rPr>
      </w:pPr>
    </w:p>
    <w:p w:rsidR="004E47E2" w:rsidRPr="008E5867" w:rsidP="00DF21BE" w14:paraId="00C90FAA" w14:textId="77777777">
      <w:pPr>
        <w:rPr>
          <w:rFonts w:ascii="Calibri (heading)" w:hAnsi="Calibri (heading)"/>
          <w:lang w:val="en-GB"/>
        </w:rPr>
      </w:pPr>
    </w:p>
    <w:sectPr w:rsidSect="007061CA">
      <w:headerReference w:type="default" r:id="rId12"/>
      <w:footerReference w:type="default" r:id="rId13"/>
      <w:pgSz w:w="12240" w:h="15840"/>
      <w:pgMar w:top="1296" w:right="936" w:bottom="1296" w:left="93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heading)">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2DB" w:rsidRPr="0088004E" w14:paraId="1EFD01A6" w14:textId="0383DAD5">
    <w:pPr>
      <w:pStyle w:val="Footer"/>
      <w:bidi w:val="0"/>
      <w:jc w:val="right"/>
      <w:rPr>
        <w:sz w:val="20"/>
      </w:rPr>
    </w:pPr>
    <w:r w:rsidRPr="0088004E">
      <w:rPr>
        <w:sz w:val="20"/>
        <w:rtl w:val="0"/>
        <w:lang w:val="pt-BR"/>
      </w:rPr>
      <w:t>Página</w:t>
    </w:r>
    <w:sdt>
      <w:sdtPr>
        <w:rPr>
          <w:noProof/>
          <w:sz w:val="20"/>
          <w:lang w:val="pt-BR"/>
        </w:rPr>
        <w:id w:val="2052846992"/>
        <w:docPartObj>
          <w:docPartGallery w:val="Page Numbers (Bottom of Page)"/>
          <w:docPartUnique/>
        </w:docPartObj>
      </w:sdtPr>
      <w:sdtEndPr>
        <w:rPr>
          <w:noProof/>
        </w:rPr>
      </w:sdtEndPr>
      <w:sdtContent>
        <w:r w:rsidRPr="0088004E">
          <w:rPr>
            <w:sz w:val="20"/>
          </w:rPr>
          <w:fldChar w:fldCharType="begin"/>
        </w:r>
        <w:r w:rsidRPr="0088004E">
          <w:rPr>
            <w:sz w:val="20"/>
            <w:rtl w:val="0"/>
            <w:lang w:val="pt-BR"/>
          </w:rPr>
          <w:instrText xml:space="preserve"> PAGE   \* MERGEFORMAT </w:instrText>
        </w:r>
        <w:r w:rsidRPr="0088004E">
          <w:rPr>
            <w:sz w:val="20"/>
          </w:rPr>
          <w:fldChar w:fldCharType="separate"/>
        </w:r>
        <w:r w:rsidR="00E612D3">
          <w:rPr>
            <w:noProof/>
            <w:sz w:val="20"/>
            <w:rtl w:val="0"/>
            <w:lang w:val="pt-BR"/>
          </w:rPr>
          <w:t>13</w:t>
        </w:r>
        <w:r w:rsidRPr="0088004E">
          <w:rPr>
            <w:noProof/>
            <w:sz w:val="20"/>
          </w:rPr>
          <w:fldChar w:fldCharType="end"/>
        </w:r>
        <w:r w:rsidRPr="0088004E">
          <w:rPr>
            <w:sz w:val="20"/>
            <w:rtl w:val="0"/>
            <w:lang w:val="pt-BR"/>
          </w:rPr>
          <w:t xml:space="preserve"> de 11</w:t>
        </w:r>
      </w:sdtContent>
    </w:sdt>
  </w:p>
  <w:p w:rsidR="007E02DB" w:rsidRPr="001169E2" w14:paraId="1C3E890A" w14:textId="77777777">
    <w:pPr>
      <w:pStyle w:val="Foo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016F" w:rsidP="001E016F" w14:paraId="78244EA6" w14:textId="77777777">
    <w:pPr>
      <w:pStyle w:val="Header"/>
      <w:jc w:val="right"/>
      <w:rPr>
        <w:sz w:val="20"/>
        <w:szCs w:val="19"/>
      </w:rPr>
    </w:pPr>
    <w:r>
      <w:rPr>
        <w:noProof/>
      </w:rPr>
      <w:drawing>
        <wp:inline distT="0" distB="0" distL="0" distR="0">
          <wp:extent cx="1320800" cy="232663"/>
          <wp:effectExtent l="0" t="0" r="0" b="0"/>
          <wp:docPr id="1098455524" name="Picture 1" descr="A blue and black logo&#10;&#10;Description automatically generated">
            <a:extLst xmlns:a="http://schemas.openxmlformats.org/drawingml/2006/main">
              <a:ext xmlns:a="http://schemas.openxmlformats.org/drawingml/2006/main" uri="{FF2B5EF4-FFF2-40B4-BE49-F238E27FC236}">
                <a16:creationId xmlns:a16="http://schemas.microsoft.com/office/drawing/2014/main" id="{EB81F416-3C7F-4943-B65D-2128C1B55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a:extLst>
                      <a:ext xmlns:a="http://schemas.openxmlformats.org/drawingml/2006/main" uri="{FF2B5EF4-FFF2-40B4-BE49-F238E27FC236}">
                        <a16:creationId xmlns:a16="http://schemas.microsoft.com/office/drawing/2014/main" id="{EB81F416-3C7F-4943-B65D-2128C1B55B9B}"/>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756" cy="238116"/>
                  </a:xfrm>
                  <a:prstGeom prst="rect">
                    <a:avLst/>
                  </a:prstGeom>
                </pic:spPr>
              </pic:pic>
            </a:graphicData>
          </a:graphic>
        </wp:inline>
      </w:drawing>
    </w:r>
  </w:p>
  <w:p w:rsidR="001E016F" w:rsidP="001E016F" w14:paraId="2EED3F68" w14:textId="77777777">
    <w:pPr>
      <w:pStyle w:val="Header"/>
      <w:jc w:val="right"/>
      <w:rPr>
        <w:sz w:val="20"/>
        <w:szCs w:val="19"/>
      </w:rPr>
    </w:pPr>
  </w:p>
  <w:p w:rsidR="007E02DB" w:rsidRPr="0051357C" w:rsidP="001E016F" w14:paraId="058BA07C" w14:textId="6FC3B0F0">
    <w:pPr>
      <w:pStyle w:val="Header"/>
      <w:bidi w:val="0"/>
      <w:jc w:val="right"/>
      <w:rPr>
        <w:rFonts w:asciiTheme="majorHAnsi" w:hAnsiTheme="majorHAnsi" w:cstheme="majorHAnsi"/>
        <w:sz w:val="20"/>
        <w:szCs w:val="19"/>
      </w:rPr>
    </w:pPr>
    <w:r w:rsidRPr="0051357C">
      <w:rPr>
        <w:rFonts w:asciiTheme="majorHAnsi" w:hAnsiTheme="majorHAnsi" w:cstheme="majorHAnsi"/>
        <w:sz w:val="20"/>
        <w:szCs w:val="19"/>
        <w:rtl w:val="0"/>
        <w:lang w:val="pt-BR"/>
      </w:rPr>
      <w:t xml:space="preserve">Política Global de Força de Trabalho Contingente </w:t>
    </w:r>
  </w:p>
  <w:p w:rsidR="00ED0664" w:rsidRPr="0051357C" w:rsidP="0088004E" w14:paraId="143757F2" w14:textId="680FB43D">
    <w:pPr>
      <w:pStyle w:val="Header"/>
      <w:bidi w:val="0"/>
      <w:jc w:val="right"/>
      <w:rPr>
        <w:rFonts w:asciiTheme="majorHAnsi" w:hAnsiTheme="majorHAnsi" w:cstheme="majorHAnsi"/>
        <w:sz w:val="19"/>
        <w:szCs w:val="19"/>
      </w:rPr>
    </w:pPr>
    <w:r w:rsidRPr="0051357C">
      <w:rPr>
        <w:rFonts w:asciiTheme="majorHAnsi" w:hAnsiTheme="majorHAnsi" w:cstheme="majorHAnsi"/>
        <w:sz w:val="20"/>
        <w:szCs w:val="19"/>
        <w:rtl w:val="0"/>
        <w:lang w:val="pt-BR"/>
      </w:rPr>
      <w:t>Última revisão: 2 de dezembro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442FB2"/>
    <w:multiLevelType w:val="singleLevel"/>
    <w:tmpl w:val="EDB6F554"/>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2CA61E32"/>
    <w:multiLevelType w:val="multilevel"/>
    <w:tmpl w:val="5FC2FE70"/>
    <w:lvl w:ilvl="0">
      <w:start w:val="1"/>
      <w:numFmt w:val="upperRoman"/>
      <w:pStyle w:val="Heading1"/>
      <w:lvlText w:val="%1."/>
      <w:lvlJc w:val="left"/>
      <w:pPr>
        <w:ind w:left="0" w:firstLine="0"/>
      </w:pPr>
    </w:lvl>
    <w:lvl w:ilvl="1">
      <w:start w:val="1"/>
      <w:numFmt w:val="upperLetter"/>
      <w:pStyle w:val="Heading2"/>
      <w:lvlText w:val="%2."/>
      <w:lvlJc w:val="left"/>
      <w:pPr>
        <w:ind w:left="27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30E322D9"/>
    <w:multiLevelType w:val="hybridMultilevel"/>
    <w:tmpl w:val="25C412C0"/>
    <w:lvl w:ilvl="0">
      <w:start w:val="1"/>
      <w:numFmt w:val="bullet"/>
      <w:pStyle w:val="List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
    <w:nsid w:val="35AC3FD3"/>
    <w:multiLevelType w:val="multilevel"/>
    <w:tmpl w:val="A73E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A73CE"/>
    <w:multiLevelType w:val="hybridMultilevel"/>
    <w:tmpl w:val="3B0CAACA"/>
    <w:lvl w:ilvl="0">
      <w:start w:val="1"/>
      <w:numFmt w:val="bullet"/>
      <w:lvlText w:val=""/>
      <w:lvlJc w:val="left"/>
      <w:pPr>
        <w:tabs>
          <w:tab w:val="num" w:pos="360"/>
        </w:tabs>
        <w:ind w:left="360" w:hanging="360"/>
      </w:pPr>
      <w:rPr>
        <w:rFonts w:ascii="Wingdings" w:hAnsi="Wingdings" w:hint="default"/>
        <w:color w:val="auto"/>
      </w:rPr>
    </w:lvl>
    <w:lvl w:ilvl="1">
      <w:start w:val="1"/>
      <w:numFmt w:val="bullet"/>
      <w:pStyle w:val="TableBullet2"/>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43FE2933"/>
    <w:multiLevelType w:val="multilevel"/>
    <w:tmpl w:val="9F34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90FE9"/>
    <w:multiLevelType w:val="hybridMultilevel"/>
    <w:tmpl w:val="29AE5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DA5158"/>
    <w:multiLevelType w:val="multilevel"/>
    <w:tmpl w:val="CDD28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F1601"/>
    <w:multiLevelType w:val="hybridMultilevel"/>
    <w:tmpl w:val="C06A27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AE5C92"/>
    <w:multiLevelType w:val="hybridMultilevel"/>
    <w:tmpl w:val="21E6B9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9"/>
  </w:num>
  <w:num w:numId="6">
    <w:abstractNumId w:val="6"/>
  </w:num>
  <w:num w:numId="7">
    <w:abstractNumId w:val="8"/>
  </w:num>
  <w:num w:numId="8">
    <w:abstractNumId w:val="3"/>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49"/>
    <w:rsid w:val="000011CB"/>
    <w:rsid w:val="00001A42"/>
    <w:rsid w:val="000025F7"/>
    <w:rsid w:val="00002B1A"/>
    <w:rsid w:val="00002C66"/>
    <w:rsid w:val="00003CA9"/>
    <w:rsid w:val="00005666"/>
    <w:rsid w:val="00006E5C"/>
    <w:rsid w:val="0001014C"/>
    <w:rsid w:val="000104AC"/>
    <w:rsid w:val="00011460"/>
    <w:rsid w:val="000117B6"/>
    <w:rsid w:val="00013616"/>
    <w:rsid w:val="000200EC"/>
    <w:rsid w:val="0002212F"/>
    <w:rsid w:val="00023788"/>
    <w:rsid w:val="00024885"/>
    <w:rsid w:val="00026127"/>
    <w:rsid w:val="00026C0F"/>
    <w:rsid w:val="00026F3C"/>
    <w:rsid w:val="00027249"/>
    <w:rsid w:val="00031E43"/>
    <w:rsid w:val="000322A9"/>
    <w:rsid w:val="00034769"/>
    <w:rsid w:val="000439D5"/>
    <w:rsid w:val="000447EA"/>
    <w:rsid w:val="00044C3A"/>
    <w:rsid w:val="00044CB4"/>
    <w:rsid w:val="0004799F"/>
    <w:rsid w:val="00050326"/>
    <w:rsid w:val="00050B4B"/>
    <w:rsid w:val="00051864"/>
    <w:rsid w:val="0005274B"/>
    <w:rsid w:val="00052988"/>
    <w:rsid w:val="00054CEE"/>
    <w:rsid w:val="00054CF0"/>
    <w:rsid w:val="000561C5"/>
    <w:rsid w:val="00056AE1"/>
    <w:rsid w:val="00056E23"/>
    <w:rsid w:val="0005720D"/>
    <w:rsid w:val="0006222E"/>
    <w:rsid w:val="0006239C"/>
    <w:rsid w:val="00062867"/>
    <w:rsid w:val="00064428"/>
    <w:rsid w:val="0006452C"/>
    <w:rsid w:val="00066023"/>
    <w:rsid w:val="00066940"/>
    <w:rsid w:val="000679BE"/>
    <w:rsid w:val="000710A9"/>
    <w:rsid w:val="00072C53"/>
    <w:rsid w:val="0007518F"/>
    <w:rsid w:val="0007629F"/>
    <w:rsid w:val="000776D0"/>
    <w:rsid w:val="00080AEA"/>
    <w:rsid w:val="000815AD"/>
    <w:rsid w:val="00082C0F"/>
    <w:rsid w:val="0008480B"/>
    <w:rsid w:val="0009048A"/>
    <w:rsid w:val="00090EDB"/>
    <w:rsid w:val="00091223"/>
    <w:rsid w:val="0009220E"/>
    <w:rsid w:val="00092D40"/>
    <w:rsid w:val="000942C3"/>
    <w:rsid w:val="00095503"/>
    <w:rsid w:val="00095A11"/>
    <w:rsid w:val="00096E98"/>
    <w:rsid w:val="00097E3B"/>
    <w:rsid w:val="000B0510"/>
    <w:rsid w:val="000B1113"/>
    <w:rsid w:val="000B12A2"/>
    <w:rsid w:val="000B581D"/>
    <w:rsid w:val="000B5B33"/>
    <w:rsid w:val="000B5DEA"/>
    <w:rsid w:val="000B6CBA"/>
    <w:rsid w:val="000B76B4"/>
    <w:rsid w:val="000C1CF9"/>
    <w:rsid w:val="000C1FED"/>
    <w:rsid w:val="000C4BEC"/>
    <w:rsid w:val="000D196D"/>
    <w:rsid w:val="000D597D"/>
    <w:rsid w:val="000D7B33"/>
    <w:rsid w:val="000E1269"/>
    <w:rsid w:val="000E19B5"/>
    <w:rsid w:val="000E1C2A"/>
    <w:rsid w:val="000E236C"/>
    <w:rsid w:val="000E6635"/>
    <w:rsid w:val="000E6BF3"/>
    <w:rsid w:val="000E7031"/>
    <w:rsid w:val="000E7A75"/>
    <w:rsid w:val="000F22CB"/>
    <w:rsid w:val="000F2F10"/>
    <w:rsid w:val="000F4767"/>
    <w:rsid w:val="000F4D50"/>
    <w:rsid w:val="000F50AF"/>
    <w:rsid w:val="000F66A3"/>
    <w:rsid w:val="000F7303"/>
    <w:rsid w:val="000F7428"/>
    <w:rsid w:val="000F7575"/>
    <w:rsid w:val="000F7F75"/>
    <w:rsid w:val="0010215A"/>
    <w:rsid w:val="00104665"/>
    <w:rsid w:val="00104C28"/>
    <w:rsid w:val="0010659C"/>
    <w:rsid w:val="001112FA"/>
    <w:rsid w:val="00111D7A"/>
    <w:rsid w:val="00113941"/>
    <w:rsid w:val="0011636F"/>
    <w:rsid w:val="00116492"/>
    <w:rsid w:val="001169E2"/>
    <w:rsid w:val="00117AF6"/>
    <w:rsid w:val="001201E3"/>
    <w:rsid w:val="00120E55"/>
    <w:rsid w:val="001223DD"/>
    <w:rsid w:val="001223E3"/>
    <w:rsid w:val="00122AF6"/>
    <w:rsid w:val="0012377B"/>
    <w:rsid w:val="00125E68"/>
    <w:rsid w:val="001274CE"/>
    <w:rsid w:val="0012791A"/>
    <w:rsid w:val="0013134C"/>
    <w:rsid w:val="00133080"/>
    <w:rsid w:val="00134168"/>
    <w:rsid w:val="00134918"/>
    <w:rsid w:val="00135945"/>
    <w:rsid w:val="00141344"/>
    <w:rsid w:val="00141A2C"/>
    <w:rsid w:val="00142B9D"/>
    <w:rsid w:val="001430E4"/>
    <w:rsid w:val="00145D5C"/>
    <w:rsid w:val="001461E2"/>
    <w:rsid w:val="00146F74"/>
    <w:rsid w:val="00147AE9"/>
    <w:rsid w:val="00150609"/>
    <w:rsid w:val="00150C9D"/>
    <w:rsid w:val="00153EA4"/>
    <w:rsid w:val="001542E6"/>
    <w:rsid w:val="001551A5"/>
    <w:rsid w:val="0015669C"/>
    <w:rsid w:val="00157F69"/>
    <w:rsid w:val="001606B6"/>
    <w:rsid w:val="00160996"/>
    <w:rsid w:val="00160C8F"/>
    <w:rsid w:val="00161E4F"/>
    <w:rsid w:val="0016204C"/>
    <w:rsid w:val="00162A8C"/>
    <w:rsid w:val="00163A6C"/>
    <w:rsid w:val="00165268"/>
    <w:rsid w:val="00165A27"/>
    <w:rsid w:val="0017056B"/>
    <w:rsid w:val="00170A83"/>
    <w:rsid w:val="001725ED"/>
    <w:rsid w:val="00172A19"/>
    <w:rsid w:val="00172C99"/>
    <w:rsid w:val="00173781"/>
    <w:rsid w:val="00175B1D"/>
    <w:rsid w:val="00177EE1"/>
    <w:rsid w:val="0018244F"/>
    <w:rsid w:val="00182AC1"/>
    <w:rsid w:val="00183AC5"/>
    <w:rsid w:val="00183C98"/>
    <w:rsid w:val="00184BDA"/>
    <w:rsid w:val="00186E34"/>
    <w:rsid w:val="001871C6"/>
    <w:rsid w:val="00190B85"/>
    <w:rsid w:val="00190D8A"/>
    <w:rsid w:val="0019196A"/>
    <w:rsid w:val="001920E8"/>
    <w:rsid w:val="001928DE"/>
    <w:rsid w:val="0019688D"/>
    <w:rsid w:val="001A08E9"/>
    <w:rsid w:val="001A1A27"/>
    <w:rsid w:val="001A1F7D"/>
    <w:rsid w:val="001A2505"/>
    <w:rsid w:val="001A3173"/>
    <w:rsid w:val="001A527A"/>
    <w:rsid w:val="001A5AC0"/>
    <w:rsid w:val="001A7AA9"/>
    <w:rsid w:val="001B147D"/>
    <w:rsid w:val="001B198B"/>
    <w:rsid w:val="001B20A3"/>
    <w:rsid w:val="001B22E4"/>
    <w:rsid w:val="001B2962"/>
    <w:rsid w:val="001B369F"/>
    <w:rsid w:val="001B413B"/>
    <w:rsid w:val="001B55D7"/>
    <w:rsid w:val="001B74E4"/>
    <w:rsid w:val="001C22CD"/>
    <w:rsid w:val="001C4271"/>
    <w:rsid w:val="001C45C6"/>
    <w:rsid w:val="001C4B8D"/>
    <w:rsid w:val="001C5E7D"/>
    <w:rsid w:val="001C65FA"/>
    <w:rsid w:val="001C66EF"/>
    <w:rsid w:val="001C7BEC"/>
    <w:rsid w:val="001D049B"/>
    <w:rsid w:val="001D10BB"/>
    <w:rsid w:val="001D2A5E"/>
    <w:rsid w:val="001D3B25"/>
    <w:rsid w:val="001D455C"/>
    <w:rsid w:val="001E016F"/>
    <w:rsid w:val="001E5866"/>
    <w:rsid w:val="001E785E"/>
    <w:rsid w:val="001F096A"/>
    <w:rsid w:val="001F184D"/>
    <w:rsid w:val="001F1AF3"/>
    <w:rsid w:val="001F1C3B"/>
    <w:rsid w:val="001F1C9A"/>
    <w:rsid w:val="001F296D"/>
    <w:rsid w:val="001F2EE5"/>
    <w:rsid w:val="001F46CB"/>
    <w:rsid w:val="001F5235"/>
    <w:rsid w:val="001F5D85"/>
    <w:rsid w:val="001F62AF"/>
    <w:rsid w:val="001F68D2"/>
    <w:rsid w:val="002000DC"/>
    <w:rsid w:val="002007A3"/>
    <w:rsid w:val="00202563"/>
    <w:rsid w:val="00202823"/>
    <w:rsid w:val="0020484F"/>
    <w:rsid w:val="0020592B"/>
    <w:rsid w:val="00207100"/>
    <w:rsid w:val="00210416"/>
    <w:rsid w:val="002131B9"/>
    <w:rsid w:val="0021425F"/>
    <w:rsid w:val="002159B2"/>
    <w:rsid w:val="0022318B"/>
    <w:rsid w:val="0022371B"/>
    <w:rsid w:val="00224604"/>
    <w:rsid w:val="00224AB6"/>
    <w:rsid w:val="00227034"/>
    <w:rsid w:val="00230933"/>
    <w:rsid w:val="00230BDB"/>
    <w:rsid w:val="00232C1C"/>
    <w:rsid w:val="00233342"/>
    <w:rsid w:val="002333FF"/>
    <w:rsid w:val="0023407D"/>
    <w:rsid w:val="00237960"/>
    <w:rsid w:val="00237CA9"/>
    <w:rsid w:val="002417BE"/>
    <w:rsid w:val="00242FA4"/>
    <w:rsid w:val="002436BF"/>
    <w:rsid w:val="002467C6"/>
    <w:rsid w:val="002512BF"/>
    <w:rsid w:val="00255ABC"/>
    <w:rsid w:val="00260249"/>
    <w:rsid w:val="00262C88"/>
    <w:rsid w:val="00263999"/>
    <w:rsid w:val="00263CCA"/>
    <w:rsid w:val="00263DCC"/>
    <w:rsid w:val="00264C83"/>
    <w:rsid w:val="00264FCD"/>
    <w:rsid w:val="00265B75"/>
    <w:rsid w:val="00266484"/>
    <w:rsid w:val="002700AE"/>
    <w:rsid w:val="00276EF9"/>
    <w:rsid w:val="00277653"/>
    <w:rsid w:val="002821D0"/>
    <w:rsid w:val="00282DB4"/>
    <w:rsid w:val="00283D51"/>
    <w:rsid w:val="00284EB2"/>
    <w:rsid w:val="00286115"/>
    <w:rsid w:val="00286765"/>
    <w:rsid w:val="00286F56"/>
    <w:rsid w:val="0028735B"/>
    <w:rsid w:val="00292F5A"/>
    <w:rsid w:val="002938A5"/>
    <w:rsid w:val="00293F96"/>
    <w:rsid w:val="00296678"/>
    <w:rsid w:val="00297D78"/>
    <w:rsid w:val="00297E29"/>
    <w:rsid w:val="002A0774"/>
    <w:rsid w:val="002A0F0C"/>
    <w:rsid w:val="002A6543"/>
    <w:rsid w:val="002A708C"/>
    <w:rsid w:val="002A7F64"/>
    <w:rsid w:val="002B025A"/>
    <w:rsid w:val="002B0A60"/>
    <w:rsid w:val="002B1263"/>
    <w:rsid w:val="002B28DC"/>
    <w:rsid w:val="002B29E4"/>
    <w:rsid w:val="002B3CEE"/>
    <w:rsid w:val="002B5B85"/>
    <w:rsid w:val="002B63CF"/>
    <w:rsid w:val="002B6672"/>
    <w:rsid w:val="002C0CA7"/>
    <w:rsid w:val="002C2C1A"/>
    <w:rsid w:val="002C33BB"/>
    <w:rsid w:val="002C35B9"/>
    <w:rsid w:val="002C3705"/>
    <w:rsid w:val="002C7FAC"/>
    <w:rsid w:val="002D03F2"/>
    <w:rsid w:val="002D24FF"/>
    <w:rsid w:val="002D38EF"/>
    <w:rsid w:val="002E0C75"/>
    <w:rsid w:val="002E30B6"/>
    <w:rsid w:val="002E64CA"/>
    <w:rsid w:val="002F1868"/>
    <w:rsid w:val="002F197E"/>
    <w:rsid w:val="002F2B5A"/>
    <w:rsid w:val="002F492E"/>
    <w:rsid w:val="002F574B"/>
    <w:rsid w:val="002F653D"/>
    <w:rsid w:val="002F6EC9"/>
    <w:rsid w:val="00300A55"/>
    <w:rsid w:val="0030142F"/>
    <w:rsid w:val="00302253"/>
    <w:rsid w:val="00302EF9"/>
    <w:rsid w:val="003062AD"/>
    <w:rsid w:val="00310619"/>
    <w:rsid w:val="0031176B"/>
    <w:rsid w:val="00312760"/>
    <w:rsid w:val="00314945"/>
    <w:rsid w:val="003150EE"/>
    <w:rsid w:val="003155B3"/>
    <w:rsid w:val="003156D4"/>
    <w:rsid w:val="0031699E"/>
    <w:rsid w:val="003206D4"/>
    <w:rsid w:val="0032378E"/>
    <w:rsid w:val="00324706"/>
    <w:rsid w:val="00325329"/>
    <w:rsid w:val="003269DF"/>
    <w:rsid w:val="003274CF"/>
    <w:rsid w:val="00330E2B"/>
    <w:rsid w:val="003317A5"/>
    <w:rsid w:val="00336AF3"/>
    <w:rsid w:val="00337B8A"/>
    <w:rsid w:val="003402B5"/>
    <w:rsid w:val="00341C43"/>
    <w:rsid w:val="00341F30"/>
    <w:rsid w:val="00342E56"/>
    <w:rsid w:val="00343072"/>
    <w:rsid w:val="00344F46"/>
    <w:rsid w:val="003464B7"/>
    <w:rsid w:val="003467A7"/>
    <w:rsid w:val="00351036"/>
    <w:rsid w:val="003516EF"/>
    <w:rsid w:val="00351972"/>
    <w:rsid w:val="00355B9F"/>
    <w:rsid w:val="0035609A"/>
    <w:rsid w:val="00362993"/>
    <w:rsid w:val="0036756B"/>
    <w:rsid w:val="00371264"/>
    <w:rsid w:val="00371B0A"/>
    <w:rsid w:val="00372EEF"/>
    <w:rsid w:val="0037353F"/>
    <w:rsid w:val="003802B6"/>
    <w:rsid w:val="003823C8"/>
    <w:rsid w:val="00383254"/>
    <w:rsid w:val="0038394D"/>
    <w:rsid w:val="00385EBC"/>
    <w:rsid w:val="00386D47"/>
    <w:rsid w:val="00387FBE"/>
    <w:rsid w:val="0039343D"/>
    <w:rsid w:val="00396A87"/>
    <w:rsid w:val="003971DC"/>
    <w:rsid w:val="00397CE9"/>
    <w:rsid w:val="00397D67"/>
    <w:rsid w:val="00397E2E"/>
    <w:rsid w:val="003A1B39"/>
    <w:rsid w:val="003A36E4"/>
    <w:rsid w:val="003A3A91"/>
    <w:rsid w:val="003A3DE7"/>
    <w:rsid w:val="003A5F43"/>
    <w:rsid w:val="003A6BF9"/>
    <w:rsid w:val="003B0A0F"/>
    <w:rsid w:val="003B1541"/>
    <w:rsid w:val="003B208A"/>
    <w:rsid w:val="003B2A40"/>
    <w:rsid w:val="003B7F5A"/>
    <w:rsid w:val="003C1B08"/>
    <w:rsid w:val="003C29C4"/>
    <w:rsid w:val="003C573A"/>
    <w:rsid w:val="003C6DC6"/>
    <w:rsid w:val="003D042A"/>
    <w:rsid w:val="003D1483"/>
    <w:rsid w:val="003D39A5"/>
    <w:rsid w:val="003D5CC6"/>
    <w:rsid w:val="003E06C9"/>
    <w:rsid w:val="003E17FD"/>
    <w:rsid w:val="003E225E"/>
    <w:rsid w:val="003E273A"/>
    <w:rsid w:val="003E3254"/>
    <w:rsid w:val="003E3331"/>
    <w:rsid w:val="003E42B9"/>
    <w:rsid w:val="003E512C"/>
    <w:rsid w:val="003E5880"/>
    <w:rsid w:val="003E5A2B"/>
    <w:rsid w:val="003E6A16"/>
    <w:rsid w:val="003E6CBD"/>
    <w:rsid w:val="003E76ED"/>
    <w:rsid w:val="003F0DC7"/>
    <w:rsid w:val="003F1542"/>
    <w:rsid w:val="003F1B5B"/>
    <w:rsid w:val="003F2301"/>
    <w:rsid w:val="003F41A5"/>
    <w:rsid w:val="0040024C"/>
    <w:rsid w:val="00400C2C"/>
    <w:rsid w:val="004023BB"/>
    <w:rsid w:val="00403E4C"/>
    <w:rsid w:val="00404289"/>
    <w:rsid w:val="004046AB"/>
    <w:rsid w:val="00405601"/>
    <w:rsid w:val="00411C64"/>
    <w:rsid w:val="0041224D"/>
    <w:rsid w:val="00412588"/>
    <w:rsid w:val="00413753"/>
    <w:rsid w:val="00415E01"/>
    <w:rsid w:val="0041602C"/>
    <w:rsid w:val="00416D23"/>
    <w:rsid w:val="00417648"/>
    <w:rsid w:val="004208EF"/>
    <w:rsid w:val="00423067"/>
    <w:rsid w:val="0042543F"/>
    <w:rsid w:val="0042629E"/>
    <w:rsid w:val="004302F0"/>
    <w:rsid w:val="004338BB"/>
    <w:rsid w:val="00434957"/>
    <w:rsid w:val="00434A35"/>
    <w:rsid w:val="004358EB"/>
    <w:rsid w:val="00436361"/>
    <w:rsid w:val="00437028"/>
    <w:rsid w:val="004377E9"/>
    <w:rsid w:val="004458A4"/>
    <w:rsid w:val="0044697D"/>
    <w:rsid w:val="00447C59"/>
    <w:rsid w:val="00450420"/>
    <w:rsid w:val="00450879"/>
    <w:rsid w:val="00454939"/>
    <w:rsid w:val="00455443"/>
    <w:rsid w:val="00455ADA"/>
    <w:rsid w:val="00456429"/>
    <w:rsid w:val="0045642A"/>
    <w:rsid w:val="0045678D"/>
    <w:rsid w:val="004613FB"/>
    <w:rsid w:val="00462060"/>
    <w:rsid w:val="00463DFF"/>
    <w:rsid w:val="00466372"/>
    <w:rsid w:val="0046641F"/>
    <w:rsid w:val="00466E01"/>
    <w:rsid w:val="00472400"/>
    <w:rsid w:val="00472540"/>
    <w:rsid w:val="00473D03"/>
    <w:rsid w:val="00473E97"/>
    <w:rsid w:val="00474738"/>
    <w:rsid w:val="00476B26"/>
    <w:rsid w:val="00476DD2"/>
    <w:rsid w:val="00476F68"/>
    <w:rsid w:val="00480403"/>
    <w:rsid w:val="00484EE0"/>
    <w:rsid w:val="00486C1F"/>
    <w:rsid w:val="00487DC9"/>
    <w:rsid w:val="00492943"/>
    <w:rsid w:val="00493EF2"/>
    <w:rsid w:val="00494746"/>
    <w:rsid w:val="00497784"/>
    <w:rsid w:val="004A040D"/>
    <w:rsid w:val="004A4C3B"/>
    <w:rsid w:val="004A4CB9"/>
    <w:rsid w:val="004A5882"/>
    <w:rsid w:val="004A5981"/>
    <w:rsid w:val="004A5ABA"/>
    <w:rsid w:val="004B1841"/>
    <w:rsid w:val="004B21AF"/>
    <w:rsid w:val="004B3BF1"/>
    <w:rsid w:val="004B59AE"/>
    <w:rsid w:val="004B5AA2"/>
    <w:rsid w:val="004B6DE1"/>
    <w:rsid w:val="004B7753"/>
    <w:rsid w:val="004B7B87"/>
    <w:rsid w:val="004C249C"/>
    <w:rsid w:val="004C5231"/>
    <w:rsid w:val="004C6A30"/>
    <w:rsid w:val="004C6D39"/>
    <w:rsid w:val="004C72DD"/>
    <w:rsid w:val="004C7E19"/>
    <w:rsid w:val="004D1001"/>
    <w:rsid w:val="004D11EA"/>
    <w:rsid w:val="004D1F4E"/>
    <w:rsid w:val="004D4194"/>
    <w:rsid w:val="004D4440"/>
    <w:rsid w:val="004D6016"/>
    <w:rsid w:val="004D6BF1"/>
    <w:rsid w:val="004D7210"/>
    <w:rsid w:val="004E2545"/>
    <w:rsid w:val="004E33A8"/>
    <w:rsid w:val="004E3427"/>
    <w:rsid w:val="004E3658"/>
    <w:rsid w:val="004E47E2"/>
    <w:rsid w:val="004E4EAB"/>
    <w:rsid w:val="004E6945"/>
    <w:rsid w:val="004E717E"/>
    <w:rsid w:val="004E749B"/>
    <w:rsid w:val="004E78F9"/>
    <w:rsid w:val="004F0C57"/>
    <w:rsid w:val="004F2E81"/>
    <w:rsid w:val="005004B6"/>
    <w:rsid w:val="005004BB"/>
    <w:rsid w:val="00500682"/>
    <w:rsid w:val="0050147B"/>
    <w:rsid w:val="00505D00"/>
    <w:rsid w:val="0050667B"/>
    <w:rsid w:val="00511372"/>
    <w:rsid w:val="0051357C"/>
    <w:rsid w:val="00516807"/>
    <w:rsid w:val="00517480"/>
    <w:rsid w:val="0052006D"/>
    <w:rsid w:val="00522C55"/>
    <w:rsid w:val="00523910"/>
    <w:rsid w:val="00524EB4"/>
    <w:rsid w:val="00524F72"/>
    <w:rsid w:val="00525081"/>
    <w:rsid w:val="00526800"/>
    <w:rsid w:val="00526C68"/>
    <w:rsid w:val="005308D4"/>
    <w:rsid w:val="00532007"/>
    <w:rsid w:val="005337EA"/>
    <w:rsid w:val="00535770"/>
    <w:rsid w:val="00536297"/>
    <w:rsid w:val="00536529"/>
    <w:rsid w:val="005367ED"/>
    <w:rsid w:val="00542714"/>
    <w:rsid w:val="0054385E"/>
    <w:rsid w:val="00544B6A"/>
    <w:rsid w:val="00544C25"/>
    <w:rsid w:val="005454F8"/>
    <w:rsid w:val="00547358"/>
    <w:rsid w:val="0054752F"/>
    <w:rsid w:val="00553878"/>
    <w:rsid w:val="00553BC8"/>
    <w:rsid w:val="0055536A"/>
    <w:rsid w:val="0055735A"/>
    <w:rsid w:val="00567127"/>
    <w:rsid w:val="00570203"/>
    <w:rsid w:val="00571DAC"/>
    <w:rsid w:val="00574085"/>
    <w:rsid w:val="005743B7"/>
    <w:rsid w:val="00575F28"/>
    <w:rsid w:val="0057783B"/>
    <w:rsid w:val="00577A70"/>
    <w:rsid w:val="00577BD6"/>
    <w:rsid w:val="00577EB8"/>
    <w:rsid w:val="005804F5"/>
    <w:rsid w:val="005816E0"/>
    <w:rsid w:val="00585E9F"/>
    <w:rsid w:val="00587F5D"/>
    <w:rsid w:val="00590A8D"/>
    <w:rsid w:val="00590DF0"/>
    <w:rsid w:val="00592474"/>
    <w:rsid w:val="00592AE0"/>
    <w:rsid w:val="00592B2D"/>
    <w:rsid w:val="00593902"/>
    <w:rsid w:val="00594424"/>
    <w:rsid w:val="0059487B"/>
    <w:rsid w:val="00594FD4"/>
    <w:rsid w:val="00595EB1"/>
    <w:rsid w:val="00597384"/>
    <w:rsid w:val="005A0F86"/>
    <w:rsid w:val="005A1B76"/>
    <w:rsid w:val="005A2993"/>
    <w:rsid w:val="005A4C4A"/>
    <w:rsid w:val="005A4DCC"/>
    <w:rsid w:val="005A5861"/>
    <w:rsid w:val="005A6272"/>
    <w:rsid w:val="005A6F02"/>
    <w:rsid w:val="005A7D67"/>
    <w:rsid w:val="005B0466"/>
    <w:rsid w:val="005B05D6"/>
    <w:rsid w:val="005B1562"/>
    <w:rsid w:val="005B233D"/>
    <w:rsid w:val="005B354A"/>
    <w:rsid w:val="005B3B87"/>
    <w:rsid w:val="005B3D2C"/>
    <w:rsid w:val="005B6160"/>
    <w:rsid w:val="005C4F47"/>
    <w:rsid w:val="005C69CE"/>
    <w:rsid w:val="005D0355"/>
    <w:rsid w:val="005D0F81"/>
    <w:rsid w:val="005D22ED"/>
    <w:rsid w:val="005D33C0"/>
    <w:rsid w:val="005D33C3"/>
    <w:rsid w:val="005D510E"/>
    <w:rsid w:val="005D5F44"/>
    <w:rsid w:val="005D6B24"/>
    <w:rsid w:val="005E1502"/>
    <w:rsid w:val="005E343B"/>
    <w:rsid w:val="005E363D"/>
    <w:rsid w:val="005E5BC3"/>
    <w:rsid w:val="005F009E"/>
    <w:rsid w:val="005F1DCA"/>
    <w:rsid w:val="005F3D1A"/>
    <w:rsid w:val="005F4E79"/>
    <w:rsid w:val="005F53F9"/>
    <w:rsid w:val="005F58DF"/>
    <w:rsid w:val="00600AAB"/>
    <w:rsid w:val="00600C89"/>
    <w:rsid w:val="00601A34"/>
    <w:rsid w:val="00603842"/>
    <w:rsid w:val="006049F9"/>
    <w:rsid w:val="006053EF"/>
    <w:rsid w:val="00610492"/>
    <w:rsid w:val="0061434A"/>
    <w:rsid w:val="00614B3B"/>
    <w:rsid w:val="0061532C"/>
    <w:rsid w:val="00615516"/>
    <w:rsid w:val="00615970"/>
    <w:rsid w:val="00617ECF"/>
    <w:rsid w:val="00622197"/>
    <w:rsid w:val="006231F8"/>
    <w:rsid w:val="0062644A"/>
    <w:rsid w:val="00627D86"/>
    <w:rsid w:val="00630983"/>
    <w:rsid w:val="00630A98"/>
    <w:rsid w:val="0063499A"/>
    <w:rsid w:val="00634ACB"/>
    <w:rsid w:val="006357DC"/>
    <w:rsid w:val="006368ED"/>
    <w:rsid w:val="006375F8"/>
    <w:rsid w:val="00640AD9"/>
    <w:rsid w:val="0064257B"/>
    <w:rsid w:val="00642BD5"/>
    <w:rsid w:val="00644C54"/>
    <w:rsid w:val="00646015"/>
    <w:rsid w:val="00651103"/>
    <w:rsid w:val="006536B1"/>
    <w:rsid w:val="00654EF2"/>
    <w:rsid w:val="006566BC"/>
    <w:rsid w:val="00656BCC"/>
    <w:rsid w:val="00660834"/>
    <w:rsid w:val="00662BA6"/>
    <w:rsid w:val="00663024"/>
    <w:rsid w:val="006662DF"/>
    <w:rsid w:val="00666894"/>
    <w:rsid w:val="00667221"/>
    <w:rsid w:val="00673FC4"/>
    <w:rsid w:val="00677DE3"/>
    <w:rsid w:val="00677E25"/>
    <w:rsid w:val="00681A52"/>
    <w:rsid w:val="00683D29"/>
    <w:rsid w:val="00686753"/>
    <w:rsid w:val="00686C24"/>
    <w:rsid w:val="00687ACC"/>
    <w:rsid w:val="006909E9"/>
    <w:rsid w:val="0069198D"/>
    <w:rsid w:val="00692077"/>
    <w:rsid w:val="00693945"/>
    <w:rsid w:val="00694062"/>
    <w:rsid w:val="006942B7"/>
    <w:rsid w:val="006952A7"/>
    <w:rsid w:val="00696510"/>
    <w:rsid w:val="00696AB0"/>
    <w:rsid w:val="00696E59"/>
    <w:rsid w:val="006A3873"/>
    <w:rsid w:val="006A3993"/>
    <w:rsid w:val="006A5336"/>
    <w:rsid w:val="006A5C62"/>
    <w:rsid w:val="006A6694"/>
    <w:rsid w:val="006A7655"/>
    <w:rsid w:val="006B02F5"/>
    <w:rsid w:val="006B13F0"/>
    <w:rsid w:val="006B2DDC"/>
    <w:rsid w:val="006B3752"/>
    <w:rsid w:val="006B63A9"/>
    <w:rsid w:val="006B67D6"/>
    <w:rsid w:val="006B7171"/>
    <w:rsid w:val="006B7893"/>
    <w:rsid w:val="006C0975"/>
    <w:rsid w:val="006C11EA"/>
    <w:rsid w:val="006C20FB"/>
    <w:rsid w:val="006C2A90"/>
    <w:rsid w:val="006C341A"/>
    <w:rsid w:val="006C3EBE"/>
    <w:rsid w:val="006C3F6E"/>
    <w:rsid w:val="006C451A"/>
    <w:rsid w:val="006C578A"/>
    <w:rsid w:val="006C5D76"/>
    <w:rsid w:val="006C6298"/>
    <w:rsid w:val="006D1D3E"/>
    <w:rsid w:val="006D2932"/>
    <w:rsid w:val="006D32E8"/>
    <w:rsid w:val="006D35A3"/>
    <w:rsid w:val="006D3EA4"/>
    <w:rsid w:val="006D3F7B"/>
    <w:rsid w:val="006D468D"/>
    <w:rsid w:val="006D64A8"/>
    <w:rsid w:val="006D6813"/>
    <w:rsid w:val="006E001B"/>
    <w:rsid w:val="006E0684"/>
    <w:rsid w:val="006E0749"/>
    <w:rsid w:val="006E1E21"/>
    <w:rsid w:val="006E1ECC"/>
    <w:rsid w:val="006E49C3"/>
    <w:rsid w:val="006E53F7"/>
    <w:rsid w:val="006E5525"/>
    <w:rsid w:val="006E7F08"/>
    <w:rsid w:val="006F2F0E"/>
    <w:rsid w:val="006F3B24"/>
    <w:rsid w:val="006F465E"/>
    <w:rsid w:val="006F4F02"/>
    <w:rsid w:val="006F5304"/>
    <w:rsid w:val="006F5980"/>
    <w:rsid w:val="006F655F"/>
    <w:rsid w:val="006F700D"/>
    <w:rsid w:val="00700822"/>
    <w:rsid w:val="00701FDC"/>
    <w:rsid w:val="0070296B"/>
    <w:rsid w:val="00703DC3"/>
    <w:rsid w:val="007061CA"/>
    <w:rsid w:val="007061CF"/>
    <w:rsid w:val="007068B6"/>
    <w:rsid w:val="007111B1"/>
    <w:rsid w:val="00713C68"/>
    <w:rsid w:val="007142C7"/>
    <w:rsid w:val="007164DE"/>
    <w:rsid w:val="00716D3D"/>
    <w:rsid w:val="007171DE"/>
    <w:rsid w:val="00721BB8"/>
    <w:rsid w:val="00721E1D"/>
    <w:rsid w:val="00723B0B"/>
    <w:rsid w:val="007250A0"/>
    <w:rsid w:val="00726048"/>
    <w:rsid w:val="0072734D"/>
    <w:rsid w:val="00730EAF"/>
    <w:rsid w:val="00730F13"/>
    <w:rsid w:val="00734B86"/>
    <w:rsid w:val="00735972"/>
    <w:rsid w:val="00736023"/>
    <w:rsid w:val="0074239A"/>
    <w:rsid w:val="007427E9"/>
    <w:rsid w:val="007471E3"/>
    <w:rsid w:val="0075082F"/>
    <w:rsid w:val="00751AF9"/>
    <w:rsid w:val="00751FD1"/>
    <w:rsid w:val="00753A13"/>
    <w:rsid w:val="00756FBC"/>
    <w:rsid w:val="0075773A"/>
    <w:rsid w:val="007638A0"/>
    <w:rsid w:val="00767572"/>
    <w:rsid w:val="00767F25"/>
    <w:rsid w:val="00772836"/>
    <w:rsid w:val="007730F9"/>
    <w:rsid w:val="0077317B"/>
    <w:rsid w:val="007734B3"/>
    <w:rsid w:val="00782377"/>
    <w:rsid w:val="00782460"/>
    <w:rsid w:val="007824F7"/>
    <w:rsid w:val="00782863"/>
    <w:rsid w:val="00782CF4"/>
    <w:rsid w:val="00783FA9"/>
    <w:rsid w:val="0078474A"/>
    <w:rsid w:val="00786127"/>
    <w:rsid w:val="007866F5"/>
    <w:rsid w:val="00786AC3"/>
    <w:rsid w:val="007873C7"/>
    <w:rsid w:val="007921A8"/>
    <w:rsid w:val="0079483E"/>
    <w:rsid w:val="007A1771"/>
    <w:rsid w:val="007A2107"/>
    <w:rsid w:val="007A38C0"/>
    <w:rsid w:val="007A5574"/>
    <w:rsid w:val="007A5A30"/>
    <w:rsid w:val="007B1EF2"/>
    <w:rsid w:val="007B31EF"/>
    <w:rsid w:val="007B411D"/>
    <w:rsid w:val="007B6667"/>
    <w:rsid w:val="007C0253"/>
    <w:rsid w:val="007C3DE0"/>
    <w:rsid w:val="007C4E36"/>
    <w:rsid w:val="007D151A"/>
    <w:rsid w:val="007D2D0B"/>
    <w:rsid w:val="007D3C5F"/>
    <w:rsid w:val="007D3DCC"/>
    <w:rsid w:val="007D4AFA"/>
    <w:rsid w:val="007D6515"/>
    <w:rsid w:val="007E02DB"/>
    <w:rsid w:val="007E49DA"/>
    <w:rsid w:val="007E66C1"/>
    <w:rsid w:val="007E7BBC"/>
    <w:rsid w:val="007E7C0C"/>
    <w:rsid w:val="007F342A"/>
    <w:rsid w:val="007F3538"/>
    <w:rsid w:val="007F4EE7"/>
    <w:rsid w:val="007F57C1"/>
    <w:rsid w:val="007F5818"/>
    <w:rsid w:val="007F6BCA"/>
    <w:rsid w:val="007F715F"/>
    <w:rsid w:val="007F7ACC"/>
    <w:rsid w:val="008022D3"/>
    <w:rsid w:val="00804C2C"/>
    <w:rsid w:val="00810051"/>
    <w:rsid w:val="008117F9"/>
    <w:rsid w:val="00811B3E"/>
    <w:rsid w:val="00811D34"/>
    <w:rsid w:val="00812012"/>
    <w:rsid w:val="00813521"/>
    <w:rsid w:val="008137BE"/>
    <w:rsid w:val="008161DD"/>
    <w:rsid w:val="00817956"/>
    <w:rsid w:val="00820532"/>
    <w:rsid w:val="008219E2"/>
    <w:rsid w:val="00822150"/>
    <w:rsid w:val="00823679"/>
    <w:rsid w:val="00824FA5"/>
    <w:rsid w:val="00825773"/>
    <w:rsid w:val="008270D5"/>
    <w:rsid w:val="0083299B"/>
    <w:rsid w:val="00833B87"/>
    <w:rsid w:val="008352B7"/>
    <w:rsid w:val="00836DB9"/>
    <w:rsid w:val="008371BD"/>
    <w:rsid w:val="00837621"/>
    <w:rsid w:val="00842544"/>
    <w:rsid w:val="00844954"/>
    <w:rsid w:val="00844D4F"/>
    <w:rsid w:val="008464AB"/>
    <w:rsid w:val="00847210"/>
    <w:rsid w:val="00847EA7"/>
    <w:rsid w:val="00851A67"/>
    <w:rsid w:val="00852809"/>
    <w:rsid w:val="00852C02"/>
    <w:rsid w:val="00853891"/>
    <w:rsid w:val="0085579B"/>
    <w:rsid w:val="008558C1"/>
    <w:rsid w:val="00855AA8"/>
    <w:rsid w:val="00855AE3"/>
    <w:rsid w:val="00856A17"/>
    <w:rsid w:val="00856E09"/>
    <w:rsid w:val="00856FBB"/>
    <w:rsid w:val="0086096C"/>
    <w:rsid w:val="00861F49"/>
    <w:rsid w:val="00863774"/>
    <w:rsid w:val="0086400F"/>
    <w:rsid w:val="00865950"/>
    <w:rsid w:val="00865D59"/>
    <w:rsid w:val="00867AD5"/>
    <w:rsid w:val="008725B6"/>
    <w:rsid w:val="00873706"/>
    <w:rsid w:val="0087459C"/>
    <w:rsid w:val="0087485A"/>
    <w:rsid w:val="008763D7"/>
    <w:rsid w:val="0088004E"/>
    <w:rsid w:val="00881BCD"/>
    <w:rsid w:val="00882B3A"/>
    <w:rsid w:val="00883CBC"/>
    <w:rsid w:val="00887A94"/>
    <w:rsid w:val="00890A2C"/>
    <w:rsid w:val="00892AB0"/>
    <w:rsid w:val="00896123"/>
    <w:rsid w:val="008A12FB"/>
    <w:rsid w:val="008A2771"/>
    <w:rsid w:val="008A379E"/>
    <w:rsid w:val="008A42FE"/>
    <w:rsid w:val="008A4E39"/>
    <w:rsid w:val="008A58D9"/>
    <w:rsid w:val="008A72A4"/>
    <w:rsid w:val="008A769D"/>
    <w:rsid w:val="008B143A"/>
    <w:rsid w:val="008B2292"/>
    <w:rsid w:val="008B385C"/>
    <w:rsid w:val="008B637B"/>
    <w:rsid w:val="008B69BF"/>
    <w:rsid w:val="008B6C09"/>
    <w:rsid w:val="008B6C94"/>
    <w:rsid w:val="008C25BC"/>
    <w:rsid w:val="008C3228"/>
    <w:rsid w:val="008C33A8"/>
    <w:rsid w:val="008C4D05"/>
    <w:rsid w:val="008C778D"/>
    <w:rsid w:val="008C7E76"/>
    <w:rsid w:val="008D0EEE"/>
    <w:rsid w:val="008D232A"/>
    <w:rsid w:val="008D335E"/>
    <w:rsid w:val="008D4472"/>
    <w:rsid w:val="008D4A03"/>
    <w:rsid w:val="008D74A9"/>
    <w:rsid w:val="008D7564"/>
    <w:rsid w:val="008D7BDD"/>
    <w:rsid w:val="008E0414"/>
    <w:rsid w:val="008E0876"/>
    <w:rsid w:val="008E09EB"/>
    <w:rsid w:val="008E0A00"/>
    <w:rsid w:val="008E1339"/>
    <w:rsid w:val="008E15DB"/>
    <w:rsid w:val="008E318B"/>
    <w:rsid w:val="008E3964"/>
    <w:rsid w:val="008E4FBA"/>
    <w:rsid w:val="008E5867"/>
    <w:rsid w:val="008E5F35"/>
    <w:rsid w:val="008E5FC8"/>
    <w:rsid w:val="008F00F7"/>
    <w:rsid w:val="008F07EF"/>
    <w:rsid w:val="008F0969"/>
    <w:rsid w:val="008F3069"/>
    <w:rsid w:val="008F48D5"/>
    <w:rsid w:val="008F5B64"/>
    <w:rsid w:val="008F777A"/>
    <w:rsid w:val="00901923"/>
    <w:rsid w:val="009029FA"/>
    <w:rsid w:val="009031D9"/>
    <w:rsid w:val="00903A49"/>
    <w:rsid w:val="00903D79"/>
    <w:rsid w:val="00907F92"/>
    <w:rsid w:val="00912165"/>
    <w:rsid w:val="009178BC"/>
    <w:rsid w:val="009202DD"/>
    <w:rsid w:val="00920EA9"/>
    <w:rsid w:val="0092310E"/>
    <w:rsid w:val="00923E72"/>
    <w:rsid w:val="00924507"/>
    <w:rsid w:val="00924D8A"/>
    <w:rsid w:val="00926647"/>
    <w:rsid w:val="00926BF7"/>
    <w:rsid w:val="0092731F"/>
    <w:rsid w:val="00927DCE"/>
    <w:rsid w:val="009324DB"/>
    <w:rsid w:val="00932868"/>
    <w:rsid w:val="009328A8"/>
    <w:rsid w:val="009331F2"/>
    <w:rsid w:val="0093335E"/>
    <w:rsid w:val="00933B66"/>
    <w:rsid w:val="00933D1B"/>
    <w:rsid w:val="00933E7F"/>
    <w:rsid w:val="009354B1"/>
    <w:rsid w:val="00935718"/>
    <w:rsid w:val="00935A20"/>
    <w:rsid w:val="009374EA"/>
    <w:rsid w:val="009401F0"/>
    <w:rsid w:val="00940C4D"/>
    <w:rsid w:val="00941E12"/>
    <w:rsid w:val="00943107"/>
    <w:rsid w:val="00945A1E"/>
    <w:rsid w:val="0094643F"/>
    <w:rsid w:val="009473D0"/>
    <w:rsid w:val="00950B9E"/>
    <w:rsid w:val="00953CC0"/>
    <w:rsid w:val="009552E0"/>
    <w:rsid w:val="0095650D"/>
    <w:rsid w:val="009576B4"/>
    <w:rsid w:val="00960CEB"/>
    <w:rsid w:val="00960D5C"/>
    <w:rsid w:val="00960FF7"/>
    <w:rsid w:val="009619EA"/>
    <w:rsid w:val="00962D02"/>
    <w:rsid w:val="00963087"/>
    <w:rsid w:val="00966D31"/>
    <w:rsid w:val="009700B8"/>
    <w:rsid w:val="009701D2"/>
    <w:rsid w:val="0097104C"/>
    <w:rsid w:val="009743DE"/>
    <w:rsid w:val="009764F3"/>
    <w:rsid w:val="009779C3"/>
    <w:rsid w:val="00981B72"/>
    <w:rsid w:val="00981D71"/>
    <w:rsid w:val="00983628"/>
    <w:rsid w:val="00986B8F"/>
    <w:rsid w:val="009872EC"/>
    <w:rsid w:val="00990159"/>
    <w:rsid w:val="00995A6B"/>
    <w:rsid w:val="009A1C65"/>
    <w:rsid w:val="009A2E29"/>
    <w:rsid w:val="009A32FD"/>
    <w:rsid w:val="009A40C2"/>
    <w:rsid w:val="009A5750"/>
    <w:rsid w:val="009A69AC"/>
    <w:rsid w:val="009A7679"/>
    <w:rsid w:val="009A7BD8"/>
    <w:rsid w:val="009B0290"/>
    <w:rsid w:val="009B0463"/>
    <w:rsid w:val="009B1A09"/>
    <w:rsid w:val="009B43DA"/>
    <w:rsid w:val="009B57E8"/>
    <w:rsid w:val="009B6399"/>
    <w:rsid w:val="009B6D84"/>
    <w:rsid w:val="009B775E"/>
    <w:rsid w:val="009B7DC8"/>
    <w:rsid w:val="009C0412"/>
    <w:rsid w:val="009C0601"/>
    <w:rsid w:val="009C335E"/>
    <w:rsid w:val="009C4568"/>
    <w:rsid w:val="009C66A9"/>
    <w:rsid w:val="009C7328"/>
    <w:rsid w:val="009D00C0"/>
    <w:rsid w:val="009D2EC4"/>
    <w:rsid w:val="009D3168"/>
    <w:rsid w:val="009D545F"/>
    <w:rsid w:val="009E0E1E"/>
    <w:rsid w:val="009E0FAD"/>
    <w:rsid w:val="009E2E96"/>
    <w:rsid w:val="009E705F"/>
    <w:rsid w:val="009E79C0"/>
    <w:rsid w:val="009F1045"/>
    <w:rsid w:val="009F3B70"/>
    <w:rsid w:val="009F3BF7"/>
    <w:rsid w:val="009F5896"/>
    <w:rsid w:val="009F6F60"/>
    <w:rsid w:val="009F7FC4"/>
    <w:rsid w:val="00A01D49"/>
    <w:rsid w:val="00A03B11"/>
    <w:rsid w:val="00A052FC"/>
    <w:rsid w:val="00A062D5"/>
    <w:rsid w:val="00A10357"/>
    <w:rsid w:val="00A116FD"/>
    <w:rsid w:val="00A11E4A"/>
    <w:rsid w:val="00A1255F"/>
    <w:rsid w:val="00A12963"/>
    <w:rsid w:val="00A13799"/>
    <w:rsid w:val="00A141E4"/>
    <w:rsid w:val="00A14632"/>
    <w:rsid w:val="00A14F95"/>
    <w:rsid w:val="00A15A16"/>
    <w:rsid w:val="00A16B6B"/>
    <w:rsid w:val="00A176AC"/>
    <w:rsid w:val="00A201E5"/>
    <w:rsid w:val="00A209C1"/>
    <w:rsid w:val="00A237DB"/>
    <w:rsid w:val="00A24AA7"/>
    <w:rsid w:val="00A25A04"/>
    <w:rsid w:val="00A26A6D"/>
    <w:rsid w:val="00A27BD4"/>
    <w:rsid w:val="00A35543"/>
    <w:rsid w:val="00A363A0"/>
    <w:rsid w:val="00A406E0"/>
    <w:rsid w:val="00A412A7"/>
    <w:rsid w:val="00A4184D"/>
    <w:rsid w:val="00A44A87"/>
    <w:rsid w:val="00A44DBD"/>
    <w:rsid w:val="00A4544B"/>
    <w:rsid w:val="00A45907"/>
    <w:rsid w:val="00A45D06"/>
    <w:rsid w:val="00A46414"/>
    <w:rsid w:val="00A4643D"/>
    <w:rsid w:val="00A466FD"/>
    <w:rsid w:val="00A47B63"/>
    <w:rsid w:val="00A535B7"/>
    <w:rsid w:val="00A5424B"/>
    <w:rsid w:val="00A571B1"/>
    <w:rsid w:val="00A5722D"/>
    <w:rsid w:val="00A57A34"/>
    <w:rsid w:val="00A57CAE"/>
    <w:rsid w:val="00A62F87"/>
    <w:rsid w:val="00A65C22"/>
    <w:rsid w:val="00A6622F"/>
    <w:rsid w:val="00A670E8"/>
    <w:rsid w:val="00A70869"/>
    <w:rsid w:val="00A71FD0"/>
    <w:rsid w:val="00A72B56"/>
    <w:rsid w:val="00A758ED"/>
    <w:rsid w:val="00A77602"/>
    <w:rsid w:val="00A82227"/>
    <w:rsid w:val="00A82410"/>
    <w:rsid w:val="00A834F8"/>
    <w:rsid w:val="00A84875"/>
    <w:rsid w:val="00A8545C"/>
    <w:rsid w:val="00A86C90"/>
    <w:rsid w:val="00A87534"/>
    <w:rsid w:val="00A906D7"/>
    <w:rsid w:val="00A917F3"/>
    <w:rsid w:val="00A94985"/>
    <w:rsid w:val="00A95907"/>
    <w:rsid w:val="00A96CF2"/>
    <w:rsid w:val="00AA0160"/>
    <w:rsid w:val="00AA0A32"/>
    <w:rsid w:val="00AA1868"/>
    <w:rsid w:val="00AA378A"/>
    <w:rsid w:val="00AA3C24"/>
    <w:rsid w:val="00AA42E6"/>
    <w:rsid w:val="00AA4693"/>
    <w:rsid w:val="00AA73C3"/>
    <w:rsid w:val="00AB0BFF"/>
    <w:rsid w:val="00AB350B"/>
    <w:rsid w:val="00AB4968"/>
    <w:rsid w:val="00AB4D17"/>
    <w:rsid w:val="00AC0707"/>
    <w:rsid w:val="00AC0AFB"/>
    <w:rsid w:val="00AC1295"/>
    <w:rsid w:val="00AC2A31"/>
    <w:rsid w:val="00AC30C8"/>
    <w:rsid w:val="00AC3259"/>
    <w:rsid w:val="00AC4397"/>
    <w:rsid w:val="00AC699F"/>
    <w:rsid w:val="00AC6AC3"/>
    <w:rsid w:val="00AC7760"/>
    <w:rsid w:val="00AC7DC5"/>
    <w:rsid w:val="00AD0DD5"/>
    <w:rsid w:val="00AD35E5"/>
    <w:rsid w:val="00AD439E"/>
    <w:rsid w:val="00AD5774"/>
    <w:rsid w:val="00AD7317"/>
    <w:rsid w:val="00AE2730"/>
    <w:rsid w:val="00AE27BB"/>
    <w:rsid w:val="00AE28E3"/>
    <w:rsid w:val="00AE2BD3"/>
    <w:rsid w:val="00AE3B94"/>
    <w:rsid w:val="00AE5EA0"/>
    <w:rsid w:val="00AE60D6"/>
    <w:rsid w:val="00AE77F8"/>
    <w:rsid w:val="00AF084F"/>
    <w:rsid w:val="00AF09DE"/>
    <w:rsid w:val="00AF4BF0"/>
    <w:rsid w:val="00AF73A9"/>
    <w:rsid w:val="00B00541"/>
    <w:rsid w:val="00B016DD"/>
    <w:rsid w:val="00B037DC"/>
    <w:rsid w:val="00B058D3"/>
    <w:rsid w:val="00B05ED8"/>
    <w:rsid w:val="00B0606D"/>
    <w:rsid w:val="00B11F72"/>
    <w:rsid w:val="00B13D74"/>
    <w:rsid w:val="00B14894"/>
    <w:rsid w:val="00B15F9D"/>
    <w:rsid w:val="00B1770E"/>
    <w:rsid w:val="00B22E07"/>
    <w:rsid w:val="00B25416"/>
    <w:rsid w:val="00B273E8"/>
    <w:rsid w:val="00B307EE"/>
    <w:rsid w:val="00B325A4"/>
    <w:rsid w:val="00B33B79"/>
    <w:rsid w:val="00B341CA"/>
    <w:rsid w:val="00B34602"/>
    <w:rsid w:val="00B349DC"/>
    <w:rsid w:val="00B37A18"/>
    <w:rsid w:val="00B43A8F"/>
    <w:rsid w:val="00B4573E"/>
    <w:rsid w:val="00B4695E"/>
    <w:rsid w:val="00B5079F"/>
    <w:rsid w:val="00B53E83"/>
    <w:rsid w:val="00B53FC1"/>
    <w:rsid w:val="00B546F6"/>
    <w:rsid w:val="00B55D89"/>
    <w:rsid w:val="00B5762E"/>
    <w:rsid w:val="00B57D8F"/>
    <w:rsid w:val="00B60057"/>
    <w:rsid w:val="00B618F8"/>
    <w:rsid w:val="00B61A14"/>
    <w:rsid w:val="00B624F0"/>
    <w:rsid w:val="00B6337B"/>
    <w:rsid w:val="00B63583"/>
    <w:rsid w:val="00B64215"/>
    <w:rsid w:val="00B64347"/>
    <w:rsid w:val="00B64F3F"/>
    <w:rsid w:val="00B64FAE"/>
    <w:rsid w:val="00B657ED"/>
    <w:rsid w:val="00B66FD5"/>
    <w:rsid w:val="00B70A89"/>
    <w:rsid w:val="00B70B3E"/>
    <w:rsid w:val="00B70C1A"/>
    <w:rsid w:val="00B70F2A"/>
    <w:rsid w:val="00B71493"/>
    <w:rsid w:val="00B71499"/>
    <w:rsid w:val="00B72AB4"/>
    <w:rsid w:val="00B74550"/>
    <w:rsid w:val="00B74A20"/>
    <w:rsid w:val="00B7549B"/>
    <w:rsid w:val="00B76DE1"/>
    <w:rsid w:val="00B8058E"/>
    <w:rsid w:val="00B82FA7"/>
    <w:rsid w:val="00B84389"/>
    <w:rsid w:val="00B84C4A"/>
    <w:rsid w:val="00B85543"/>
    <w:rsid w:val="00B90D08"/>
    <w:rsid w:val="00B92CE9"/>
    <w:rsid w:val="00B9366A"/>
    <w:rsid w:val="00B93F1C"/>
    <w:rsid w:val="00B93FC6"/>
    <w:rsid w:val="00B944E7"/>
    <w:rsid w:val="00B96573"/>
    <w:rsid w:val="00B96659"/>
    <w:rsid w:val="00B970C1"/>
    <w:rsid w:val="00B974F6"/>
    <w:rsid w:val="00BA0003"/>
    <w:rsid w:val="00BA211C"/>
    <w:rsid w:val="00BA3044"/>
    <w:rsid w:val="00BA3323"/>
    <w:rsid w:val="00BA4A41"/>
    <w:rsid w:val="00BA5D5A"/>
    <w:rsid w:val="00BB2739"/>
    <w:rsid w:val="00BB3041"/>
    <w:rsid w:val="00BB3B15"/>
    <w:rsid w:val="00BB400C"/>
    <w:rsid w:val="00BB4154"/>
    <w:rsid w:val="00BB561B"/>
    <w:rsid w:val="00BB5880"/>
    <w:rsid w:val="00BB5F8E"/>
    <w:rsid w:val="00BB62E9"/>
    <w:rsid w:val="00BB6BDA"/>
    <w:rsid w:val="00BB7087"/>
    <w:rsid w:val="00BC0A1C"/>
    <w:rsid w:val="00BC2C6A"/>
    <w:rsid w:val="00BC3E84"/>
    <w:rsid w:val="00BC634A"/>
    <w:rsid w:val="00BC63C9"/>
    <w:rsid w:val="00BC7AB2"/>
    <w:rsid w:val="00BD0A3B"/>
    <w:rsid w:val="00BD1669"/>
    <w:rsid w:val="00BD3DDC"/>
    <w:rsid w:val="00BD41F1"/>
    <w:rsid w:val="00BD4551"/>
    <w:rsid w:val="00BD68CF"/>
    <w:rsid w:val="00BD6C37"/>
    <w:rsid w:val="00BD74F5"/>
    <w:rsid w:val="00BD770B"/>
    <w:rsid w:val="00BD77B7"/>
    <w:rsid w:val="00BD7A41"/>
    <w:rsid w:val="00BE08FC"/>
    <w:rsid w:val="00BE3AD4"/>
    <w:rsid w:val="00BF0941"/>
    <w:rsid w:val="00BF151B"/>
    <w:rsid w:val="00BF1CD9"/>
    <w:rsid w:val="00BF55A3"/>
    <w:rsid w:val="00BF684C"/>
    <w:rsid w:val="00C02A95"/>
    <w:rsid w:val="00C03CD0"/>
    <w:rsid w:val="00C03E50"/>
    <w:rsid w:val="00C04D07"/>
    <w:rsid w:val="00C0532E"/>
    <w:rsid w:val="00C07614"/>
    <w:rsid w:val="00C07790"/>
    <w:rsid w:val="00C1168C"/>
    <w:rsid w:val="00C12259"/>
    <w:rsid w:val="00C13976"/>
    <w:rsid w:val="00C13F6D"/>
    <w:rsid w:val="00C1502D"/>
    <w:rsid w:val="00C205A8"/>
    <w:rsid w:val="00C20CDD"/>
    <w:rsid w:val="00C2170D"/>
    <w:rsid w:val="00C25A01"/>
    <w:rsid w:val="00C26A5E"/>
    <w:rsid w:val="00C27A03"/>
    <w:rsid w:val="00C30600"/>
    <w:rsid w:val="00C31B2E"/>
    <w:rsid w:val="00C3555D"/>
    <w:rsid w:val="00C36C92"/>
    <w:rsid w:val="00C36E0E"/>
    <w:rsid w:val="00C37B68"/>
    <w:rsid w:val="00C40913"/>
    <w:rsid w:val="00C40E12"/>
    <w:rsid w:val="00C40E7E"/>
    <w:rsid w:val="00C4299D"/>
    <w:rsid w:val="00C44F93"/>
    <w:rsid w:val="00C46308"/>
    <w:rsid w:val="00C46744"/>
    <w:rsid w:val="00C4680F"/>
    <w:rsid w:val="00C475E0"/>
    <w:rsid w:val="00C47F03"/>
    <w:rsid w:val="00C47FFD"/>
    <w:rsid w:val="00C51BA9"/>
    <w:rsid w:val="00C56DE6"/>
    <w:rsid w:val="00C577B7"/>
    <w:rsid w:val="00C60712"/>
    <w:rsid w:val="00C63E3E"/>
    <w:rsid w:val="00C64A13"/>
    <w:rsid w:val="00C6774A"/>
    <w:rsid w:val="00C67A94"/>
    <w:rsid w:val="00C70422"/>
    <w:rsid w:val="00C7078C"/>
    <w:rsid w:val="00C71219"/>
    <w:rsid w:val="00C71A19"/>
    <w:rsid w:val="00C71A8C"/>
    <w:rsid w:val="00C76A76"/>
    <w:rsid w:val="00C778C0"/>
    <w:rsid w:val="00C77AB5"/>
    <w:rsid w:val="00C77ABE"/>
    <w:rsid w:val="00C8067E"/>
    <w:rsid w:val="00C813D8"/>
    <w:rsid w:val="00C82510"/>
    <w:rsid w:val="00C83FB4"/>
    <w:rsid w:val="00C852BA"/>
    <w:rsid w:val="00C853DC"/>
    <w:rsid w:val="00C86445"/>
    <w:rsid w:val="00C86E30"/>
    <w:rsid w:val="00C87914"/>
    <w:rsid w:val="00C9110B"/>
    <w:rsid w:val="00C91D15"/>
    <w:rsid w:val="00C927EA"/>
    <w:rsid w:val="00C92F3D"/>
    <w:rsid w:val="00C9416A"/>
    <w:rsid w:val="00C94434"/>
    <w:rsid w:val="00C95079"/>
    <w:rsid w:val="00C9553E"/>
    <w:rsid w:val="00C96E55"/>
    <w:rsid w:val="00C97660"/>
    <w:rsid w:val="00C979D2"/>
    <w:rsid w:val="00C97F2D"/>
    <w:rsid w:val="00CA0BD9"/>
    <w:rsid w:val="00CA1216"/>
    <w:rsid w:val="00CA1A83"/>
    <w:rsid w:val="00CA31DF"/>
    <w:rsid w:val="00CA3C4E"/>
    <w:rsid w:val="00CA47F2"/>
    <w:rsid w:val="00CA4E85"/>
    <w:rsid w:val="00CA5146"/>
    <w:rsid w:val="00CA52B0"/>
    <w:rsid w:val="00CA54AD"/>
    <w:rsid w:val="00CA570E"/>
    <w:rsid w:val="00CA777F"/>
    <w:rsid w:val="00CB0165"/>
    <w:rsid w:val="00CB0F81"/>
    <w:rsid w:val="00CB14D5"/>
    <w:rsid w:val="00CB4D8F"/>
    <w:rsid w:val="00CB5A22"/>
    <w:rsid w:val="00CB5FC3"/>
    <w:rsid w:val="00CB62A2"/>
    <w:rsid w:val="00CC268A"/>
    <w:rsid w:val="00CC318C"/>
    <w:rsid w:val="00CC521D"/>
    <w:rsid w:val="00CC53D0"/>
    <w:rsid w:val="00CC75A4"/>
    <w:rsid w:val="00CD0078"/>
    <w:rsid w:val="00CD1D73"/>
    <w:rsid w:val="00CD3DD4"/>
    <w:rsid w:val="00CD44D4"/>
    <w:rsid w:val="00CD47FC"/>
    <w:rsid w:val="00CD564A"/>
    <w:rsid w:val="00CD6BE7"/>
    <w:rsid w:val="00CE0646"/>
    <w:rsid w:val="00CE2918"/>
    <w:rsid w:val="00CE2AEC"/>
    <w:rsid w:val="00CE4790"/>
    <w:rsid w:val="00CE5AC9"/>
    <w:rsid w:val="00CE6D43"/>
    <w:rsid w:val="00CF1567"/>
    <w:rsid w:val="00CF17B0"/>
    <w:rsid w:val="00CF3516"/>
    <w:rsid w:val="00CF3B9D"/>
    <w:rsid w:val="00CF3DD7"/>
    <w:rsid w:val="00CF447D"/>
    <w:rsid w:val="00CF6A59"/>
    <w:rsid w:val="00CF6EE0"/>
    <w:rsid w:val="00CF7A81"/>
    <w:rsid w:val="00D008D8"/>
    <w:rsid w:val="00D00CF2"/>
    <w:rsid w:val="00D011F3"/>
    <w:rsid w:val="00D01BA3"/>
    <w:rsid w:val="00D030C9"/>
    <w:rsid w:val="00D057E7"/>
    <w:rsid w:val="00D05962"/>
    <w:rsid w:val="00D0606B"/>
    <w:rsid w:val="00D0705F"/>
    <w:rsid w:val="00D076B3"/>
    <w:rsid w:val="00D07E1D"/>
    <w:rsid w:val="00D11B0B"/>
    <w:rsid w:val="00D14EC8"/>
    <w:rsid w:val="00D20217"/>
    <w:rsid w:val="00D20435"/>
    <w:rsid w:val="00D21976"/>
    <w:rsid w:val="00D2214C"/>
    <w:rsid w:val="00D2392B"/>
    <w:rsid w:val="00D2432E"/>
    <w:rsid w:val="00D32BBE"/>
    <w:rsid w:val="00D33527"/>
    <w:rsid w:val="00D33C71"/>
    <w:rsid w:val="00D34C3B"/>
    <w:rsid w:val="00D36BFC"/>
    <w:rsid w:val="00D37D98"/>
    <w:rsid w:val="00D409DE"/>
    <w:rsid w:val="00D40DEC"/>
    <w:rsid w:val="00D4299C"/>
    <w:rsid w:val="00D42CE3"/>
    <w:rsid w:val="00D4349A"/>
    <w:rsid w:val="00D43EBF"/>
    <w:rsid w:val="00D443B0"/>
    <w:rsid w:val="00D45BA5"/>
    <w:rsid w:val="00D46528"/>
    <w:rsid w:val="00D46FC6"/>
    <w:rsid w:val="00D5037B"/>
    <w:rsid w:val="00D50507"/>
    <w:rsid w:val="00D54856"/>
    <w:rsid w:val="00D558B9"/>
    <w:rsid w:val="00D57EF7"/>
    <w:rsid w:val="00D60BF3"/>
    <w:rsid w:val="00D62C53"/>
    <w:rsid w:val="00D63B5C"/>
    <w:rsid w:val="00D63CC1"/>
    <w:rsid w:val="00D64C0C"/>
    <w:rsid w:val="00D66087"/>
    <w:rsid w:val="00D66505"/>
    <w:rsid w:val="00D706CC"/>
    <w:rsid w:val="00D70A4F"/>
    <w:rsid w:val="00D716D8"/>
    <w:rsid w:val="00D72604"/>
    <w:rsid w:val="00D730F4"/>
    <w:rsid w:val="00D73242"/>
    <w:rsid w:val="00D73FDB"/>
    <w:rsid w:val="00D7480F"/>
    <w:rsid w:val="00D74C5E"/>
    <w:rsid w:val="00D75BF6"/>
    <w:rsid w:val="00D76CA5"/>
    <w:rsid w:val="00D774C1"/>
    <w:rsid w:val="00D77716"/>
    <w:rsid w:val="00D8042E"/>
    <w:rsid w:val="00D80EE5"/>
    <w:rsid w:val="00D81285"/>
    <w:rsid w:val="00D833F1"/>
    <w:rsid w:val="00D86F78"/>
    <w:rsid w:val="00D91457"/>
    <w:rsid w:val="00D91AC2"/>
    <w:rsid w:val="00D935F6"/>
    <w:rsid w:val="00D950C3"/>
    <w:rsid w:val="00D9552F"/>
    <w:rsid w:val="00D95969"/>
    <w:rsid w:val="00D970F2"/>
    <w:rsid w:val="00D97F94"/>
    <w:rsid w:val="00DA25A9"/>
    <w:rsid w:val="00DA42EA"/>
    <w:rsid w:val="00DB1641"/>
    <w:rsid w:val="00DB2C3C"/>
    <w:rsid w:val="00DB4062"/>
    <w:rsid w:val="00DB561C"/>
    <w:rsid w:val="00DB6F5D"/>
    <w:rsid w:val="00DC0FBA"/>
    <w:rsid w:val="00DC101C"/>
    <w:rsid w:val="00DC124E"/>
    <w:rsid w:val="00DC255C"/>
    <w:rsid w:val="00DC2C8F"/>
    <w:rsid w:val="00DC3278"/>
    <w:rsid w:val="00DC353B"/>
    <w:rsid w:val="00DC4681"/>
    <w:rsid w:val="00DC4A95"/>
    <w:rsid w:val="00DC525D"/>
    <w:rsid w:val="00DC52F3"/>
    <w:rsid w:val="00DC5F82"/>
    <w:rsid w:val="00DC7C5A"/>
    <w:rsid w:val="00DD0400"/>
    <w:rsid w:val="00DD0CE0"/>
    <w:rsid w:val="00DD1B44"/>
    <w:rsid w:val="00DD1CA5"/>
    <w:rsid w:val="00DD1D3E"/>
    <w:rsid w:val="00DD350E"/>
    <w:rsid w:val="00DD3867"/>
    <w:rsid w:val="00DD5200"/>
    <w:rsid w:val="00DD65A6"/>
    <w:rsid w:val="00DD6C9B"/>
    <w:rsid w:val="00DE0C9F"/>
    <w:rsid w:val="00DE1360"/>
    <w:rsid w:val="00DE1765"/>
    <w:rsid w:val="00DE1D2C"/>
    <w:rsid w:val="00DE2F1E"/>
    <w:rsid w:val="00DE3571"/>
    <w:rsid w:val="00DE3DBA"/>
    <w:rsid w:val="00DE49EA"/>
    <w:rsid w:val="00DE4C10"/>
    <w:rsid w:val="00DE594C"/>
    <w:rsid w:val="00DE7E57"/>
    <w:rsid w:val="00DF21BE"/>
    <w:rsid w:val="00DF2F3A"/>
    <w:rsid w:val="00DF2F96"/>
    <w:rsid w:val="00DF3296"/>
    <w:rsid w:val="00DF6AA1"/>
    <w:rsid w:val="00DF7A6E"/>
    <w:rsid w:val="00DF7BCC"/>
    <w:rsid w:val="00E00BCA"/>
    <w:rsid w:val="00E011E8"/>
    <w:rsid w:val="00E01FB5"/>
    <w:rsid w:val="00E0305A"/>
    <w:rsid w:val="00E04227"/>
    <w:rsid w:val="00E04243"/>
    <w:rsid w:val="00E044C8"/>
    <w:rsid w:val="00E049F1"/>
    <w:rsid w:val="00E04DA1"/>
    <w:rsid w:val="00E0577E"/>
    <w:rsid w:val="00E06C0F"/>
    <w:rsid w:val="00E06D5D"/>
    <w:rsid w:val="00E06EE8"/>
    <w:rsid w:val="00E1001F"/>
    <w:rsid w:val="00E10721"/>
    <w:rsid w:val="00E1266E"/>
    <w:rsid w:val="00E13DD8"/>
    <w:rsid w:val="00E14105"/>
    <w:rsid w:val="00E14C6D"/>
    <w:rsid w:val="00E15240"/>
    <w:rsid w:val="00E16FC1"/>
    <w:rsid w:val="00E208A2"/>
    <w:rsid w:val="00E2353D"/>
    <w:rsid w:val="00E245CF"/>
    <w:rsid w:val="00E2475F"/>
    <w:rsid w:val="00E25BE2"/>
    <w:rsid w:val="00E27042"/>
    <w:rsid w:val="00E30BEF"/>
    <w:rsid w:val="00E3266D"/>
    <w:rsid w:val="00E32EF6"/>
    <w:rsid w:val="00E3322A"/>
    <w:rsid w:val="00E34EA4"/>
    <w:rsid w:val="00E3561C"/>
    <w:rsid w:val="00E375C6"/>
    <w:rsid w:val="00E37E04"/>
    <w:rsid w:val="00E40B1F"/>
    <w:rsid w:val="00E43492"/>
    <w:rsid w:val="00E44088"/>
    <w:rsid w:val="00E444FC"/>
    <w:rsid w:val="00E463A6"/>
    <w:rsid w:val="00E47696"/>
    <w:rsid w:val="00E47A6C"/>
    <w:rsid w:val="00E47EED"/>
    <w:rsid w:val="00E50A36"/>
    <w:rsid w:val="00E51079"/>
    <w:rsid w:val="00E51450"/>
    <w:rsid w:val="00E53EEE"/>
    <w:rsid w:val="00E57A63"/>
    <w:rsid w:val="00E60174"/>
    <w:rsid w:val="00E60896"/>
    <w:rsid w:val="00E612D3"/>
    <w:rsid w:val="00E61498"/>
    <w:rsid w:val="00E61E6B"/>
    <w:rsid w:val="00E62F05"/>
    <w:rsid w:val="00E6316B"/>
    <w:rsid w:val="00E65269"/>
    <w:rsid w:val="00E657D6"/>
    <w:rsid w:val="00E66D89"/>
    <w:rsid w:val="00E67163"/>
    <w:rsid w:val="00E71571"/>
    <w:rsid w:val="00E72A53"/>
    <w:rsid w:val="00E73E93"/>
    <w:rsid w:val="00E74D1A"/>
    <w:rsid w:val="00E74EF7"/>
    <w:rsid w:val="00E75088"/>
    <w:rsid w:val="00E7713B"/>
    <w:rsid w:val="00E776F4"/>
    <w:rsid w:val="00E7770A"/>
    <w:rsid w:val="00E80179"/>
    <w:rsid w:val="00E83396"/>
    <w:rsid w:val="00E83C76"/>
    <w:rsid w:val="00E85365"/>
    <w:rsid w:val="00E85EE7"/>
    <w:rsid w:val="00E862A5"/>
    <w:rsid w:val="00E8637C"/>
    <w:rsid w:val="00E910AA"/>
    <w:rsid w:val="00E911DC"/>
    <w:rsid w:val="00E914BA"/>
    <w:rsid w:val="00E93674"/>
    <w:rsid w:val="00E93913"/>
    <w:rsid w:val="00E9458B"/>
    <w:rsid w:val="00E94877"/>
    <w:rsid w:val="00E95356"/>
    <w:rsid w:val="00E9639B"/>
    <w:rsid w:val="00E96AF9"/>
    <w:rsid w:val="00E97E10"/>
    <w:rsid w:val="00EA154E"/>
    <w:rsid w:val="00EA331B"/>
    <w:rsid w:val="00EA35D6"/>
    <w:rsid w:val="00EA4C5B"/>
    <w:rsid w:val="00EA4CA7"/>
    <w:rsid w:val="00EA5C74"/>
    <w:rsid w:val="00EA68A6"/>
    <w:rsid w:val="00EB1225"/>
    <w:rsid w:val="00EB218F"/>
    <w:rsid w:val="00EB2574"/>
    <w:rsid w:val="00EB2F0D"/>
    <w:rsid w:val="00EB3631"/>
    <w:rsid w:val="00EB3AF8"/>
    <w:rsid w:val="00EB3F01"/>
    <w:rsid w:val="00EB5E06"/>
    <w:rsid w:val="00EB5F49"/>
    <w:rsid w:val="00EB7241"/>
    <w:rsid w:val="00EB77F6"/>
    <w:rsid w:val="00EB7CBB"/>
    <w:rsid w:val="00EC2659"/>
    <w:rsid w:val="00EC48D9"/>
    <w:rsid w:val="00EC5029"/>
    <w:rsid w:val="00EC67D6"/>
    <w:rsid w:val="00ED0664"/>
    <w:rsid w:val="00ED17A7"/>
    <w:rsid w:val="00ED38F3"/>
    <w:rsid w:val="00ED44C9"/>
    <w:rsid w:val="00ED5564"/>
    <w:rsid w:val="00ED5BF5"/>
    <w:rsid w:val="00ED7283"/>
    <w:rsid w:val="00ED7FFB"/>
    <w:rsid w:val="00EE0E28"/>
    <w:rsid w:val="00EE16F8"/>
    <w:rsid w:val="00EE1F9F"/>
    <w:rsid w:val="00EE2634"/>
    <w:rsid w:val="00EE2CA5"/>
    <w:rsid w:val="00EE2FA9"/>
    <w:rsid w:val="00EE3125"/>
    <w:rsid w:val="00EE3913"/>
    <w:rsid w:val="00EE395E"/>
    <w:rsid w:val="00EE550D"/>
    <w:rsid w:val="00EE6266"/>
    <w:rsid w:val="00EE62DA"/>
    <w:rsid w:val="00EF1B87"/>
    <w:rsid w:val="00EF2F56"/>
    <w:rsid w:val="00EF5F42"/>
    <w:rsid w:val="00EF60FD"/>
    <w:rsid w:val="00EF64CD"/>
    <w:rsid w:val="00EF7E10"/>
    <w:rsid w:val="00F03037"/>
    <w:rsid w:val="00F04A60"/>
    <w:rsid w:val="00F0513C"/>
    <w:rsid w:val="00F10016"/>
    <w:rsid w:val="00F107F8"/>
    <w:rsid w:val="00F116FF"/>
    <w:rsid w:val="00F12CC0"/>
    <w:rsid w:val="00F13564"/>
    <w:rsid w:val="00F15D22"/>
    <w:rsid w:val="00F205F8"/>
    <w:rsid w:val="00F2090B"/>
    <w:rsid w:val="00F22686"/>
    <w:rsid w:val="00F23C23"/>
    <w:rsid w:val="00F23DE7"/>
    <w:rsid w:val="00F258D1"/>
    <w:rsid w:val="00F25F1F"/>
    <w:rsid w:val="00F31255"/>
    <w:rsid w:val="00F3299C"/>
    <w:rsid w:val="00F342D9"/>
    <w:rsid w:val="00F3568E"/>
    <w:rsid w:val="00F37326"/>
    <w:rsid w:val="00F4090C"/>
    <w:rsid w:val="00F40914"/>
    <w:rsid w:val="00F413DF"/>
    <w:rsid w:val="00F423E6"/>
    <w:rsid w:val="00F4388B"/>
    <w:rsid w:val="00F4449F"/>
    <w:rsid w:val="00F4497B"/>
    <w:rsid w:val="00F44CA1"/>
    <w:rsid w:val="00F452DA"/>
    <w:rsid w:val="00F458EC"/>
    <w:rsid w:val="00F47861"/>
    <w:rsid w:val="00F5030C"/>
    <w:rsid w:val="00F51329"/>
    <w:rsid w:val="00F52854"/>
    <w:rsid w:val="00F52C98"/>
    <w:rsid w:val="00F52F9A"/>
    <w:rsid w:val="00F53288"/>
    <w:rsid w:val="00F53E2A"/>
    <w:rsid w:val="00F53E77"/>
    <w:rsid w:val="00F5445A"/>
    <w:rsid w:val="00F600FC"/>
    <w:rsid w:val="00F62393"/>
    <w:rsid w:val="00F628AD"/>
    <w:rsid w:val="00F65605"/>
    <w:rsid w:val="00F67011"/>
    <w:rsid w:val="00F675EA"/>
    <w:rsid w:val="00F67881"/>
    <w:rsid w:val="00F7047D"/>
    <w:rsid w:val="00F715DE"/>
    <w:rsid w:val="00F7542D"/>
    <w:rsid w:val="00F762D2"/>
    <w:rsid w:val="00F77D81"/>
    <w:rsid w:val="00F82583"/>
    <w:rsid w:val="00F85371"/>
    <w:rsid w:val="00F85D97"/>
    <w:rsid w:val="00F9007F"/>
    <w:rsid w:val="00F90965"/>
    <w:rsid w:val="00F90B88"/>
    <w:rsid w:val="00F947C3"/>
    <w:rsid w:val="00F94E8C"/>
    <w:rsid w:val="00F95615"/>
    <w:rsid w:val="00F966AA"/>
    <w:rsid w:val="00FA034F"/>
    <w:rsid w:val="00FA0EA1"/>
    <w:rsid w:val="00FA438B"/>
    <w:rsid w:val="00FA4F7B"/>
    <w:rsid w:val="00FA53F6"/>
    <w:rsid w:val="00FA65CA"/>
    <w:rsid w:val="00FA6E46"/>
    <w:rsid w:val="00FB0B2E"/>
    <w:rsid w:val="00FB6286"/>
    <w:rsid w:val="00FC07CF"/>
    <w:rsid w:val="00FC2005"/>
    <w:rsid w:val="00FC35EE"/>
    <w:rsid w:val="00FC6189"/>
    <w:rsid w:val="00FC6BED"/>
    <w:rsid w:val="00FC6C93"/>
    <w:rsid w:val="00FD5838"/>
    <w:rsid w:val="00FD6390"/>
    <w:rsid w:val="00FD70C6"/>
    <w:rsid w:val="00FE0747"/>
    <w:rsid w:val="00FE25A1"/>
    <w:rsid w:val="00FE2EC1"/>
    <w:rsid w:val="00FE70E5"/>
    <w:rsid w:val="00FE762E"/>
    <w:rsid w:val="00FF38D3"/>
    <w:rsid w:val="00FF4D4C"/>
    <w:rsid w:val="00FF5282"/>
    <w:rsid w:val="0AF8EF20"/>
    <w:rsid w:val="0E27F0E7"/>
    <w:rsid w:val="16FBECEF"/>
    <w:rsid w:val="209C96C8"/>
    <w:rsid w:val="24981201"/>
    <w:rsid w:val="25ED13C9"/>
    <w:rsid w:val="26C04BB3"/>
    <w:rsid w:val="2CA7C510"/>
    <w:rsid w:val="31C84DF2"/>
    <w:rsid w:val="33B28C24"/>
    <w:rsid w:val="33F668F5"/>
    <w:rsid w:val="3766A6B7"/>
    <w:rsid w:val="3F806670"/>
    <w:rsid w:val="4002FC63"/>
    <w:rsid w:val="40C75461"/>
    <w:rsid w:val="4E9968A4"/>
    <w:rsid w:val="55FCBF84"/>
    <w:rsid w:val="64599C25"/>
    <w:rsid w:val="67804EE8"/>
    <w:rsid w:val="6B3824FD"/>
    <w:rsid w:val="74515DB9"/>
    <w:rsid w:val="74D02BAE"/>
    <w:rsid w:val="75D441E0"/>
    <w:rsid w:val="7881D3FE"/>
    <w:rsid w:val="7D25DC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5:docId w15:val="{8FEBA92F-988A-4897-9C2A-289703F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F56"/>
    <w:rPr>
      <w:rFonts w:ascii="Times New Roman" w:eastAsia="Times New Roman" w:hAnsi="Times New Roman" w:cs="Times New Roman"/>
    </w:rPr>
  </w:style>
  <w:style w:type="paragraph" w:styleId="Heading1">
    <w:name w:val="heading 1"/>
    <w:basedOn w:val="Normal"/>
    <w:next w:val="Normal"/>
    <w:link w:val="Heading1Char"/>
    <w:qFormat/>
    <w:rsid w:val="00E914BA"/>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914B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4B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14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14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14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14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4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14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86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4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E91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1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14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914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914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14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14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14B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914BA"/>
    <w:pPr>
      <w:ind w:left="720"/>
      <w:contextualSpacing/>
    </w:pPr>
  </w:style>
  <w:style w:type="paragraph" w:customStyle="1" w:styleId="body-lead1">
    <w:name w:val="body-lead1"/>
    <w:basedOn w:val="Normal"/>
    <w:link w:val="body-lead1Char"/>
    <w:rsid w:val="00286765"/>
    <w:pPr>
      <w:spacing w:before="120" w:after="120"/>
    </w:pPr>
    <w:rPr>
      <w:rFonts w:ascii="Arial" w:hAnsi="Arial" w:cs="Arial"/>
      <w:b/>
      <w:bCs/>
      <w:i/>
      <w:iCs/>
      <w:color w:val="000080"/>
      <w:sz w:val="22"/>
      <w:szCs w:val="22"/>
    </w:rPr>
  </w:style>
  <w:style w:type="character" w:customStyle="1" w:styleId="body-lead1Char">
    <w:name w:val="body-lead1 Char"/>
    <w:basedOn w:val="DefaultParagraphFont"/>
    <w:link w:val="body-lead1"/>
    <w:rsid w:val="00286765"/>
    <w:rPr>
      <w:rFonts w:ascii="Arial" w:eastAsia="Times New Roman" w:hAnsi="Arial" w:cs="Arial"/>
      <w:b/>
      <w:bCs/>
      <w:i/>
      <w:iCs/>
      <w:color w:val="000080"/>
      <w:sz w:val="22"/>
      <w:szCs w:val="22"/>
    </w:rPr>
  </w:style>
  <w:style w:type="paragraph" w:customStyle="1" w:styleId="body-text">
    <w:name w:val="body-text"/>
    <w:basedOn w:val="Normal"/>
    <w:link w:val="body-textChar"/>
    <w:rsid w:val="00286765"/>
    <w:pPr>
      <w:spacing w:before="120" w:after="120"/>
    </w:pPr>
    <w:rPr>
      <w:rFonts w:ascii="Arial" w:hAnsi="Arial" w:cs="Arial"/>
      <w:sz w:val="20"/>
      <w:szCs w:val="20"/>
    </w:rPr>
  </w:style>
  <w:style w:type="character" w:customStyle="1" w:styleId="body-textChar">
    <w:name w:val="body-text Char"/>
    <w:basedOn w:val="DefaultParagraphFont"/>
    <w:link w:val="body-text"/>
    <w:rsid w:val="00286765"/>
    <w:rPr>
      <w:rFonts w:ascii="Arial" w:eastAsia="Times New Roman" w:hAnsi="Arial" w:cs="Arial"/>
      <w:sz w:val="20"/>
      <w:szCs w:val="20"/>
    </w:rPr>
  </w:style>
  <w:style w:type="paragraph" w:customStyle="1" w:styleId="List1">
    <w:name w:val="List1"/>
    <w:basedOn w:val="Normal"/>
    <w:link w:val="listChar"/>
    <w:rsid w:val="00286765"/>
    <w:pPr>
      <w:spacing w:before="120" w:after="120"/>
    </w:pPr>
    <w:rPr>
      <w:rFonts w:ascii="Arial" w:hAnsi="Arial" w:cs="Arial"/>
      <w:sz w:val="20"/>
      <w:szCs w:val="20"/>
    </w:rPr>
  </w:style>
  <w:style w:type="character" w:customStyle="1" w:styleId="listChar">
    <w:name w:val="list Char"/>
    <w:basedOn w:val="DefaultParagraphFont"/>
    <w:link w:val="List1"/>
    <w:rsid w:val="00286765"/>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67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765"/>
    <w:rPr>
      <w:rFonts w:ascii="Lucida Grande" w:hAnsi="Lucida Grande" w:cs="Lucida Grande"/>
      <w:sz w:val="18"/>
      <w:szCs w:val="18"/>
    </w:rPr>
  </w:style>
  <w:style w:type="character" w:styleId="CommentReference">
    <w:name w:val="annotation reference"/>
    <w:uiPriority w:val="99"/>
    <w:semiHidden/>
    <w:rsid w:val="00B90D08"/>
    <w:rPr>
      <w:sz w:val="16"/>
      <w:szCs w:val="16"/>
    </w:rPr>
  </w:style>
  <w:style w:type="paragraph" w:styleId="CommentText">
    <w:name w:val="annotation text"/>
    <w:basedOn w:val="Normal"/>
    <w:link w:val="CommentTextChar"/>
    <w:uiPriority w:val="99"/>
    <w:unhideWhenUsed/>
    <w:rsid w:val="00B90D08"/>
    <w:pPr>
      <w:spacing w:after="200"/>
    </w:pPr>
    <w:rPr>
      <w:sz w:val="20"/>
      <w:szCs w:val="20"/>
      <w:lang w:eastAsia="zh-CN"/>
    </w:rPr>
  </w:style>
  <w:style w:type="character" w:customStyle="1" w:styleId="CommentTextChar">
    <w:name w:val="Comment Text Char"/>
    <w:basedOn w:val="DefaultParagraphFont"/>
    <w:link w:val="CommentText"/>
    <w:uiPriority w:val="99"/>
    <w:rsid w:val="00B90D08"/>
    <w:rPr>
      <w:sz w:val="20"/>
      <w:szCs w:val="20"/>
      <w:lang w:eastAsia="zh-CN"/>
    </w:rPr>
  </w:style>
  <w:style w:type="paragraph" w:styleId="NormalWeb">
    <w:name w:val="Normal (Web)"/>
    <w:basedOn w:val="Normal"/>
    <w:uiPriority w:val="99"/>
    <w:semiHidden/>
    <w:unhideWhenUsed/>
    <w:rsid w:val="009F7FC4"/>
    <w:pPr>
      <w:spacing w:before="100" w:beforeAutospacing="1" w:after="100" w:afterAutospacing="1"/>
    </w:pPr>
    <w:rPr>
      <w:rFonts w:ascii="Times" w:hAnsi="Times"/>
      <w:sz w:val="20"/>
      <w:szCs w:val="20"/>
    </w:rPr>
  </w:style>
  <w:style w:type="paragraph" w:styleId="ListBullet">
    <w:name w:val="List Bullet"/>
    <w:basedOn w:val="Normal"/>
    <w:link w:val="ListBulletChar"/>
    <w:rsid w:val="009F7FC4"/>
    <w:pPr>
      <w:numPr>
        <w:numId w:val="2"/>
      </w:numPr>
      <w:spacing w:before="115"/>
    </w:pPr>
    <w:rPr>
      <w:sz w:val="22"/>
      <w:szCs w:val="22"/>
    </w:rPr>
  </w:style>
  <w:style w:type="character" w:customStyle="1" w:styleId="ListBulletChar">
    <w:name w:val="List Bullet Char"/>
    <w:basedOn w:val="DefaultParagraphFont"/>
    <w:link w:val="ListBullet"/>
    <w:rsid w:val="009F7FC4"/>
    <w:rPr>
      <w:rFonts w:ascii="Times New Roman" w:eastAsia="Times New Roman" w:hAnsi="Times New Roman" w:cs="Times New Roman"/>
      <w:sz w:val="22"/>
      <w:szCs w:val="22"/>
    </w:rPr>
  </w:style>
  <w:style w:type="paragraph" w:styleId="BodyText">
    <w:name w:val="Body Text"/>
    <w:basedOn w:val="Normal"/>
    <w:link w:val="BodyTextChar"/>
    <w:uiPriority w:val="99"/>
    <w:rsid w:val="0045642A"/>
    <w:rPr>
      <w:sz w:val="22"/>
    </w:rPr>
  </w:style>
  <w:style w:type="character" w:customStyle="1" w:styleId="BodyTextChar">
    <w:name w:val="Body Text Char"/>
    <w:basedOn w:val="DefaultParagraphFont"/>
    <w:link w:val="BodyText"/>
    <w:uiPriority w:val="1"/>
    <w:rsid w:val="0045642A"/>
    <w:rPr>
      <w:rFonts w:ascii="Times New Roman" w:eastAsia="Times New Roman" w:hAnsi="Times New Roman" w:cs="Times New Roman"/>
      <w:sz w:val="22"/>
    </w:rPr>
  </w:style>
  <w:style w:type="paragraph" w:customStyle="1" w:styleId="TableBullet">
    <w:name w:val="Table Bullet"/>
    <w:basedOn w:val="Normal"/>
    <w:link w:val="TableBulletChar"/>
    <w:rsid w:val="00734B86"/>
    <w:pPr>
      <w:numPr>
        <w:numId w:val="3"/>
      </w:numPr>
      <w:tabs>
        <w:tab w:val="left" w:pos="270"/>
      </w:tabs>
      <w:spacing w:before="60" w:after="60"/>
    </w:pPr>
    <w:rPr>
      <w:rFonts w:ascii="Arial" w:hAnsi="Arial"/>
      <w:sz w:val="20"/>
      <w:szCs w:val="20"/>
    </w:rPr>
  </w:style>
  <w:style w:type="paragraph" w:customStyle="1" w:styleId="TableBody">
    <w:name w:val="Table Body"/>
    <w:rsid w:val="00734B86"/>
    <w:pPr>
      <w:spacing w:before="100" w:after="100"/>
    </w:pPr>
    <w:rPr>
      <w:rFonts w:ascii="Arial" w:eastAsia="Times New Roman" w:hAnsi="Arial" w:cs="Times New Roman"/>
      <w:sz w:val="20"/>
      <w:szCs w:val="20"/>
    </w:rPr>
  </w:style>
  <w:style w:type="paragraph" w:customStyle="1" w:styleId="TableHeadingBlack">
    <w:name w:val="Table Heading Black"/>
    <w:rsid w:val="00734B86"/>
    <w:pPr>
      <w:spacing w:after="120"/>
    </w:pPr>
    <w:rPr>
      <w:rFonts w:ascii="Arial Bold" w:eastAsia="Times New Roman" w:hAnsi="Arial Bold" w:cs="Times New Roman"/>
      <w:b/>
      <w:sz w:val="20"/>
      <w:szCs w:val="20"/>
    </w:rPr>
  </w:style>
  <w:style w:type="paragraph" w:customStyle="1" w:styleId="TableBullet2">
    <w:name w:val="Table Bullet 2"/>
    <w:rsid w:val="00734B86"/>
    <w:pPr>
      <w:numPr>
        <w:ilvl w:val="1"/>
        <w:numId w:val="4"/>
      </w:numPr>
      <w:tabs>
        <w:tab w:val="left" w:pos="720"/>
        <w:tab w:val="clear" w:pos="1080"/>
      </w:tabs>
      <w:spacing w:before="10" w:after="10"/>
    </w:pPr>
    <w:rPr>
      <w:rFonts w:ascii="Arial" w:eastAsia="Times New Roman" w:hAnsi="Arial" w:cs="Times New Roman"/>
      <w:sz w:val="20"/>
      <w:szCs w:val="20"/>
    </w:rPr>
  </w:style>
  <w:style w:type="character" w:customStyle="1" w:styleId="TableBulletChar">
    <w:name w:val="Table Bullet Char"/>
    <w:basedOn w:val="DefaultParagraphFont"/>
    <w:link w:val="TableBullet"/>
    <w:rsid w:val="00734B86"/>
    <w:rPr>
      <w:rFonts w:ascii="Arial" w:eastAsia="Times New Roman" w:hAnsi="Arial" w:cs="Times New Roman"/>
      <w:sz w:val="20"/>
      <w:szCs w:val="20"/>
    </w:rPr>
  </w:style>
  <w:style w:type="paragraph" w:styleId="Header">
    <w:name w:val="header"/>
    <w:basedOn w:val="Normal"/>
    <w:link w:val="HeaderChar"/>
    <w:uiPriority w:val="99"/>
    <w:unhideWhenUsed/>
    <w:rsid w:val="00F95615"/>
    <w:pPr>
      <w:tabs>
        <w:tab w:val="center" w:pos="4680"/>
        <w:tab w:val="right" w:pos="9360"/>
      </w:tabs>
    </w:pPr>
  </w:style>
  <w:style w:type="character" w:customStyle="1" w:styleId="HeaderChar">
    <w:name w:val="Header Char"/>
    <w:basedOn w:val="DefaultParagraphFont"/>
    <w:link w:val="Header"/>
    <w:uiPriority w:val="99"/>
    <w:rsid w:val="00F95615"/>
  </w:style>
  <w:style w:type="paragraph" w:styleId="Footer">
    <w:name w:val="footer"/>
    <w:basedOn w:val="Normal"/>
    <w:link w:val="FooterChar"/>
    <w:uiPriority w:val="99"/>
    <w:unhideWhenUsed/>
    <w:rsid w:val="00F95615"/>
    <w:pPr>
      <w:tabs>
        <w:tab w:val="center" w:pos="4680"/>
        <w:tab w:val="right" w:pos="9360"/>
      </w:tabs>
    </w:pPr>
  </w:style>
  <w:style w:type="character" w:customStyle="1" w:styleId="FooterChar">
    <w:name w:val="Footer Char"/>
    <w:basedOn w:val="DefaultParagraphFont"/>
    <w:link w:val="Footer"/>
    <w:uiPriority w:val="99"/>
    <w:rsid w:val="00F95615"/>
  </w:style>
  <w:style w:type="paragraph" w:styleId="CommentSubject">
    <w:name w:val="annotation subject"/>
    <w:basedOn w:val="CommentText"/>
    <w:next w:val="CommentText"/>
    <w:link w:val="CommentSubjectChar"/>
    <w:uiPriority w:val="99"/>
    <w:semiHidden/>
    <w:unhideWhenUsed/>
    <w:rsid w:val="00646015"/>
    <w:pPr>
      <w:spacing w:after="0"/>
    </w:pPr>
    <w:rPr>
      <w:b/>
      <w:bCs/>
      <w:lang w:eastAsia="en-US"/>
    </w:rPr>
  </w:style>
  <w:style w:type="character" w:customStyle="1" w:styleId="CommentSubjectChar">
    <w:name w:val="Comment Subject Char"/>
    <w:basedOn w:val="CommentTextChar"/>
    <w:link w:val="CommentSubject"/>
    <w:uiPriority w:val="99"/>
    <w:semiHidden/>
    <w:rsid w:val="00646015"/>
    <w:rPr>
      <w:b/>
      <w:bCs/>
      <w:sz w:val="20"/>
      <w:szCs w:val="20"/>
      <w:lang w:eastAsia="zh-CN"/>
    </w:rPr>
  </w:style>
  <w:style w:type="paragraph" w:styleId="BodyTextIndent2">
    <w:name w:val="Body Text Indent 2"/>
    <w:basedOn w:val="Normal"/>
    <w:link w:val="BodyTextIndent2Char"/>
    <w:uiPriority w:val="99"/>
    <w:semiHidden/>
    <w:unhideWhenUsed/>
    <w:rsid w:val="00D2432E"/>
    <w:pPr>
      <w:spacing w:after="120" w:line="480" w:lineRule="auto"/>
      <w:ind w:left="360"/>
    </w:pPr>
  </w:style>
  <w:style w:type="character" w:customStyle="1" w:styleId="BodyTextIndent2Char">
    <w:name w:val="Body Text Indent 2 Char"/>
    <w:basedOn w:val="DefaultParagraphFont"/>
    <w:link w:val="BodyTextIndent2"/>
    <w:uiPriority w:val="99"/>
    <w:semiHidden/>
    <w:rsid w:val="00D2432E"/>
  </w:style>
  <w:style w:type="character" w:styleId="Hyperlink">
    <w:name w:val="Hyperlink"/>
    <w:uiPriority w:val="99"/>
    <w:rsid w:val="00E25BE2"/>
    <w:rPr>
      <w:color w:val="0000FF"/>
      <w:u w:val="single"/>
    </w:rPr>
  </w:style>
  <w:style w:type="paragraph" w:styleId="TOCHeading">
    <w:name w:val="TOC Heading"/>
    <w:basedOn w:val="Heading1"/>
    <w:next w:val="Normal"/>
    <w:uiPriority w:val="39"/>
    <w:unhideWhenUsed/>
    <w:qFormat/>
    <w:rsid w:val="00455AD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34602"/>
    <w:pPr>
      <w:tabs>
        <w:tab w:val="left" w:pos="450"/>
        <w:tab w:val="right" w:leader="dot" w:pos="10358"/>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5274B"/>
    <w:pPr>
      <w:ind w:left="240"/>
    </w:pPr>
    <w:rPr>
      <w:rFonts w:asciiTheme="minorHAnsi" w:hAnsiTheme="minorHAnsi"/>
      <w:smallCaps/>
      <w:sz w:val="20"/>
      <w:szCs w:val="20"/>
    </w:rPr>
  </w:style>
  <w:style w:type="paragraph" w:styleId="TOC3">
    <w:name w:val="toc 3"/>
    <w:basedOn w:val="Normal"/>
    <w:next w:val="Normal"/>
    <w:autoRedefine/>
    <w:uiPriority w:val="39"/>
    <w:unhideWhenUsed/>
    <w:rsid w:val="00455ADA"/>
    <w:pPr>
      <w:ind w:left="480"/>
    </w:pPr>
    <w:rPr>
      <w:rFonts w:asciiTheme="minorHAnsi" w:hAnsiTheme="minorHAnsi"/>
      <w:i/>
      <w:iCs/>
      <w:sz w:val="20"/>
      <w:szCs w:val="20"/>
    </w:rPr>
  </w:style>
  <w:style w:type="paragraph" w:styleId="TOC4">
    <w:name w:val="toc 4"/>
    <w:basedOn w:val="Normal"/>
    <w:next w:val="Normal"/>
    <w:autoRedefine/>
    <w:uiPriority w:val="39"/>
    <w:unhideWhenUsed/>
    <w:rsid w:val="00455ADA"/>
    <w:pPr>
      <w:ind w:left="720"/>
    </w:pPr>
    <w:rPr>
      <w:rFonts w:asciiTheme="minorHAnsi" w:hAnsiTheme="minorHAnsi"/>
      <w:sz w:val="18"/>
      <w:szCs w:val="18"/>
    </w:rPr>
  </w:style>
  <w:style w:type="paragraph" w:styleId="TOC5">
    <w:name w:val="toc 5"/>
    <w:basedOn w:val="Normal"/>
    <w:next w:val="Normal"/>
    <w:autoRedefine/>
    <w:uiPriority w:val="39"/>
    <w:unhideWhenUsed/>
    <w:rsid w:val="00455ADA"/>
    <w:pPr>
      <w:ind w:left="960"/>
    </w:pPr>
    <w:rPr>
      <w:rFonts w:asciiTheme="minorHAnsi" w:hAnsiTheme="minorHAnsi"/>
      <w:sz w:val="18"/>
      <w:szCs w:val="18"/>
    </w:rPr>
  </w:style>
  <w:style w:type="paragraph" w:styleId="TOC6">
    <w:name w:val="toc 6"/>
    <w:basedOn w:val="Normal"/>
    <w:next w:val="Normal"/>
    <w:autoRedefine/>
    <w:uiPriority w:val="39"/>
    <w:unhideWhenUsed/>
    <w:rsid w:val="00455ADA"/>
    <w:pPr>
      <w:ind w:left="1200"/>
    </w:pPr>
    <w:rPr>
      <w:rFonts w:asciiTheme="minorHAnsi" w:hAnsiTheme="minorHAnsi"/>
      <w:sz w:val="18"/>
      <w:szCs w:val="18"/>
    </w:rPr>
  </w:style>
  <w:style w:type="paragraph" w:styleId="TOC7">
    <w:name w:val="toc 7"/>
    <w:basedOn w:val="Normal"/>
    <w:next w:val="Normal"/>
    <w:autoRedefine/>
    <w:uiPriority w:val="39"/>
    <w:unhideWhenUsed/>
    <w:rsid w:val="00455ADA"/>
    <w:pPr>
      <w:ind w:left="1440"/>
    </w:pPr>
    <w:rPr>
      <w:rFonts w:asciiTheme="minorHAnsi" w:hAnsiTheme="minorHAnsi"/>
      <w:sz w:val="18"/>
      <w:szCs w:val="18"/>
    </w:rPr>
  </w:style>
  <w:style w:type="paragraph" w:styleId="TOC8">
    <w:name w:val="toc 8"/>
    <w:basedOn w:val="Normal"/>
    <w:next w:val="Normal"/>
    <w:autoRedefine/>
    <w:uiPriority w:val="39"/>
    <w:unhideWhenUsed/>
    <w:rsid w:val="00455ADA"/>
    <w:pPr>
      <w:ind w:left="1680"/>
    </w:pPr>
    <w:rPr>
      <w:rFonts w:asciiTheme="minorHAnsi" w:hAnsiTheme="minorHAnsi"/>
      <w:sz w:val="18"/>
      <w:szCs w:val="18"/>
    </w:rPr>
  </w:style>
  <w:style w:type="paragraph" w:styleId="TOC9">
    <w:name w:val="toc 9"/>
    <w:basedOn w:val="Normal"/>
    <w:next w:val="Normal"/>
    <w:autoRedefine/>
    <w:uiPriority w:val="39"/>
    <w:unhideWhenUsed/>
    <w:rsid w:val="00455ADA"/>
    <w:pPr>
      <w:ind w:left="1920"/>
    </w:pPr>
    <w:rPr>
      <w:rFonts w:asciiTheme="minorHAnsi" w:hAnsiTheme="minorHAnsi"/>
      <w:sz w:val="18"/>
      <w:szCs w:val="18"/>
    </w:rPr>
  </w:style>
  <w:style w:type="paragraph" w:styleId="Revision">
    <w:name w:val="Revision"/>
    <w:hidden/>
    <w:uiPriority w:val="99"/>
    <w:semiHidden/>
    <w:rsid w:val="00524F72"/>
  </w:style>
  <w:style w:type="character" w:styleId="FollowedHyperlink">
    <w:name w:val="FollowedHyperlink"/>
    <w:basedOn w:val="DefaultParagraphFont"/>
    <w:uiPriority w:val="99"/>
    <w:semiHidden/>
    <w:unhideWhenUsed/>
    <w:rsid w:val="006C578A"/>
    <w:rPr>
      <w:color w:val="800080" w:themeColor="followedHyperlink"/>
      <w:u w:val="single"/>
    </w:rPr>
  </w:style>
  <w:style w:type="character" w:customStyle="1" w:styleId="UnresolvedMention">
    <w:name w:val="Unresolved Mention"/>
    <w:basedOn w:val="DefaultParagraphFont"/>
    <w:uiPriority w:val="99"/>
    <w:semiHidden/>
    <w:unhideWhenUsed/>
    <w:rsid w:val="00F53E2A"/>
    <w:rPr>
      <w:color w:val="605E5C"/>
      <w:shd w:val="clear" w:color="auto" w:fill="E1DFDD"/>
    </w:rPr>
  </w:style>
  <w:style w:type="table" w:customStyle="1" w:styleId="TableGrid1">
    <w:name w:val="Table Grid1"/>
    <w:basedOn w:val="TableNormal"/>
    <w:next w:val="TableGrid"/>
    <w:uiPriority w:val="59"/>
    <w:rsid w:val="001542E6"/>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81D"/>
    <w:rPr>
      <w:rFonts w:ascii="Calibri" w:hAnsi="Calibri" w:eastAsiaTheme="minorHAnsi"/>
      <w:sz w:val="22"/>
      <w:szCs w:val="22"/>
    </w:rPr>
  </w:style>
  <w:style w:type="character" w:styleId="Strong">
    <w:name w:val="Strong"/>
    <w:basedOn w:val="DefaultParagraphFont"/>
    <w:uiPriority w:val="22"/>
    <w:qFormat/>
    <w:rsid w:val="00EA4CA7"/>
    <w:rPr>
      <w:b/>
      <w:bCs/>
    </w:rPr>
  </w:style>
  <w:style w:type="paragraph" w:customStyle="1" w:styleId="paragraph">
    <w:name w:val="paragraph"/>
    <w:basedOn w:val="Normal"/>
    <w:rsid w:val="004002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rinksco.sharepoint.com/sites/GlobalTravelExpense" TargetMode="External" /><Relationship Id="rId11" Type="http://schemas.openxmlformats.org/officeDocument/2006/relationships/hyperlink" Target="mailto:EVaretto@brinks.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5e8845-a69c-4e9c-a143-50df7cacd838" xsi:nil="true"/>
    <lcf76f155ced4ddcb4097134ff3c332f xmlns="ff04336e-09fa-4e91-9b18-d87f1468d0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8C53BB93249747A3E9C8CCBF05B163" ma:contentTypeVersion="14" ma:contentTypeDescription="Create a new document." ma:contentTypeScope="" ma:versionID="e1472f0672e8ce38f6b6ba35dc85d86c">
  <xsd:schema xmlns:xsd="http://www.w3.org/2001/XMLSchema" xmlns:xs="http://www.w3.org/2001/XMLSchema" xmlns:p="http://schemas.microsoft.com/office/2006/metadata/properties" xmlns:ns2="ff04336e-09fa-4e91-9b18-d87f1468d0f2" xmlns:ns3="c05e8845-a69c-4e9c-a143-50df7cacd838" targetNamespace="http://schemas.microsoft.com/office/2006/metadata/properties" ma:root="true" ma:fieldsID="9edb596f744f16fc164f65dd555f823e" ns2:_="" ns3:_="">
    <xsd:import namespace="ff04336e-09fa-4e91-9b18-d87f1468d0f2"/>
    <xsd:import namespace="c05e8845-a69c-4e9c-a143-50df7cacd8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4336e-09fa-4e91-9b18-d87f1468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5357e-f7a7-49f5-8087-f8948ec628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e8845-a69c-4e9c-a143-50df7cacd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c4d159-83e8-439c-916c-12497e235367}" ma:internalName="TaxCatchAll" ma:showField="CatchAllData" ma:web="c05e8845-a69c-4e9c-a143-50df7cacd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B0728-0D61-4FA9-8F2B-8DAD8911493E}">
  <ds:schemaRefs>
    <ds:schemaRef ds:uri="http://schemas.microsoft.com/sharepoint/v3/contenttype/forms"/>
  </ds:schemaRefs>
</ds:datastoreItem>
</file>

<file path=customXml/itemProps2.xml><?xml version="1.0" encoding="utf-8"?>
<ds:datastoreItem xmlns:ds="http://schemas.openxmlformats.org/officeDocument/2006/customXml" ds:itemID="{51DB8CF9-68FB-404B-B457-DD89243A6985}">
  <ds:schemaRefs>
    <ds:schemaRef ds:uri="http://schemas.microsoft.com/office/2006/metadata/properties"/>
    <ds:schemaRef ds:uri="http://schemas.microsoft.com/office/infopath/2007/PartnerControls"/>
    <ds:schemaRef ds:uri="c05e8845-a69c-4e9c-a143-50df7cacd838"/>
    <ds:schemaRef ds:uri="ff04336e-09fa-4e91-9b18-d87f1468d0f2"/>
  </ds:schemaRefs>
</ds:datastoreItem>
</file>

<file path=customXml/itemProps3.xml><?xml version="1.0" encoding="utf-8"?>
<ds:datastoreItem xmlns:ds="http://schemas.openxmlformats.org/officeDocument/2006/customXml" ds:itemID="{D9B01C61-A312-4D0B-BE06-480B3FA80119}">
  <ds:schemaRefs>
    <ds:schemaRef ds:uri="http://schemas.openxmlformats.org/officeDocument/2006/bibliography"/>
  </ds:schemaRefs>
</ds:datastoreItem>
</file>

<file path=customXml/itemProps4.xml><?xml version="1.0" encoding="utf-8"?>
<ds:datastoreItem xmlns:ds="http://schemas.openxmlformats.org/officeDocument/2006/customXml" ds:itemID="{4ADB602D-9ACF-4F63-A672-8B85813C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4336e-09fa-4e91-9b18-d87f1468d0f2"/>
    <ds:schemaRef ds:uri="c05e8845-a69c-4e9c-a143-50df7cacd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PT_Procurement Polcies_Client Global Procurement Policy_1511255896920</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PT_Procurement Polcies_Client Global Procurement Policy_1511255896920</dc:title>
  <dc:creator>Adarsh</dc:creator>
  <cp:lastModifiedBy>Kaye Faris</cp:lastModifiedBy>
  <cp:revision>2</cp:revision>
  <cp:lastPrinted>2024-11-06T18:51:00Z</cp:lastPrinted>
  <dcterms:created xsi:type="dcterms:W3CDTF">2025-01-03T20:49:00Z</dcterms:created>
  <dcterms:modified xsi:type="dcterms:W3CDTF">2025-01-03T20:49:00Z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0x0101000A8C53BB93249747A3E9C8CCBF05B163</vt:lpwstr>
  </property>
  <property fmtid="{D5CDD505-2E9C-101B-9397-08002B2CF9AE}" pid="3" name="GEPCategory">
    <vt:lpwstr>44;#Not Applicable|f6a66797-3b3b-4ccb-a6d7-048d7cdaa434</vt:lpwstr>
  </property>
  <property fmtid="{D5CDD505-2E9C-101B-9397-08002B2CF9AE}" pid="4" name="GEPRegion">
    <vt:lpwstr>23;#Global|6c9a5115-e493-4cd2-b284-271a59e8a144</vt:lpwstr>
  </property>
  <property fmtid="{D5CDD505-2E9C-101B-9397-08002B2CF9AE}" pid="5" name="MediaServiceImageTags">
    <vt:lpwstr/>
  </property>
  <property fmtid="{D5CDD505-2E9C-101B-9397-08002B2CF9AE}" pid="6" name="_dlc_DocIdItemGuid">
    <vt:lpwstr>39856bae-06e0-43e0-ab7e-554c9e6d5138</vt:lpwstr>
  </property>
</Properties>
</file>