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914BA" w:rsidRPr="00027249" w:rsidP="00E914BA" w14:paraId="468F9556" w14:textId="70EABB44">
      <w:pPr>
        <w:jc w:val="center"/>
        <w:rPr>
          <w:sz w:val="44"/>
        </w:rPr>
      </w:pPr>
    </w:p>
    <w:p w:rsidR="008E4FBA" w:rsidRPr="00BC63C9" w:rsidP="00E914BA" w14:paraId="275392CB" w14:textId="77777777">
      <w:pPr>
        <w:jc w:val="center"/>
        <w:rPr>
          <w:sz w:val="16"/>
          <w:szCs w:val="16"/>
        </w:rPr>
      </w:pPr>
      <w:r w:rsidRPr="00027249">
        <w:rPr>
          <w:sz w:val="44"/>
        </w:rPr>
        <w:t xml:space="preserve"> </w:t>
      </w:r>
    </w:p>
    <w:p w:rsidR="004F2E81" w:rsidP="008E4FBA" w14:paraId="55E6A8F0" w14:textId="4CA02B48">
      <w:pPr>
        <w:jc w:val="center"/>
        <w:rPr>
          <w:sz w:val="44"/>
        </w:rPr>
      </w:pPr>
    </w:p>
    <w:p w:rsidR="004F2E81" w:rsidP="008E4FBA" w14:paraId="0CEBF594" w14:textId="77777777">
      <w:pPr>
        <w:jc w:val="center"/>
        <w:rPr>
          <w:sz w:val="44"/>
        </w:rPr>
      </w:pPr>
    </w:p>
    <w:p w:rsidR="004F2E81" w:rsidP="008E4FBA" w14:paraId="5338E1F1" w14:textId="6A821D56">
      <w:pPr>
        <w:jc w:val="center"/>
        <w:rPr>
          <w:sz w:val="44"/>
        </w:rPr>
      </w:pPr>
    </w:p>
    <w:p w:rsidR="004F2E81" w:rsidP="008E4FBA" w14:paraId="4840B6B6" w14:textId="77777777">
      <w:pPr>
        <w:jc w:val="center"/>
        <w:rPr>
          <w:sz w:val="44"/>
        </w:rPr>
      </w:pPr>
    </w:p>
    <w:p w:rsidR="004F2E81" w:rsidRPr="0051357C" w:rsidP="004F2E81" w14:paraId="2A193A3F" w14:textId="77777777">
      <w:pPr>
        <w:rPr>
          <w:rFonts w:asciiTheme="majorHAnsi" w:hAnsiTheme="majorHAnsi" w:cstheme="majorHAnsi"/>
          <w:sz w:val="44"/>
        </w:rPr>
      </w:pPr>
    </w:p>
    <w:p w:rsidR="0051357C" w:rsidRPr="0051357C" w:rsidP="00A116FD" w14:paraId="25F54AFC" w14:textId="77777777">
      <w:pPr>
        <w:bidi w:val="0"/>
        <w:jc w:val="center"/>
        <w:rPr>
          <w:rFonts w:asciiTheme="majorHAnsi" w:hAnsiTheme="majorHAnsi" w:cstheme="majorHAnsi"/>
          <w:b/>
          <w:bCs/>
          <w:sz w:val="68"/>
          <w:szCs w:val="68"/>
        </w:rPr>
      </w:pPr>
      <w:r w:rsidRPr="0051357C">
        <w:rPr>
          <w:rFonts w:asciiTheme="majorHAnsi" w:hAnsiTheme="majorHAnsi" w:cstheme="majorHAnsi"/>
          <w:b/>
          <w:bCs/>
          <w:sz w:val="68"/>
          <w:szCs w:val="68"/>
          <w:rtl w:val="0"/>
          <w:lang w:val="fr"/>
        </w:rPr>
        <w:t xml:space="preserve">BRINK'S GLOBAL </w:t>
      </w:r>
    </w:p>
    <w:p w:rsidR="0051357C" w:rsidRPr="0051357C" w:rsidP="00A116FD" w14:paraId="40BE0718" w14:textId="77777777">
      <w:pPr>
        <w:bidi w:val="0"/>
        <w:jc w:val="center"/>
        <w:rPr>
          <w:rFonts w:asciiTheme="majorHAnsi" w:hAnsiTheme="majorHAnsi" w:cstheme="majorHAnsi"/>
          <w:b/>
          <w:bCs/>
          <w:sz w:val="68"/>
          <w:szCs w:val="68"/>
        </w:rPr>
      </w:pPr>
      <w:r w:rsidRPr="0051357C">
        <w:rPr>
          <w:rFonts w:asciiTheme="majorHAnsi" w:hAnsiTheme="majorHAnsi" w:cstheme="majorHAnsi"/>
          <w:b/>
          <w:bCs/>
          <w:sz w:val="68"/>
          <w:szCs w:val="68"/>
          <w:rtl w:val="0"/>
          <w:lang w:val="fr"/>
        </w:rPr>
        <w:t xml:space="preserve">MAIN-D'ŒUVRE OCCASIONNELLE </w:t>
      </w:r>
    </w:p>
    <w:p w:rsidR="00C87914" w:rsidRPr="0051357C" w:rsidP="00A116FD" w14:paraId="2F8B1E16" w14:textId="71D62E60">
      <w:pPr>
        <w:bidi w:val="0"/>
        <w:jc w:val="center"/>
        <w:rPr>
          <w:rFonts w:asciiTheme="majorHAnsi" w:hAnsiTheme="majorHAnsi" w:cstheme="majorHAnsi"/>
          <w:b/>
          <w:bCs/>
          <w:sz w:val="68"/>
          <w:szCs w:val="68"/>
        </w:rPr>
      </w:pPr>
      <w:r w:rsidRPr="0051357C">
        <w:rPr>
          <w:rFonts w:asciiTheme="majorHAnsi" w:hAnsiTheme="majorHAnsi" w:cstheme="majorHAnsi"/>
          <w:b/>
          <w:bCs/>
          <w:sz w:val="68"/>
          <w:szCs w:val="68"/>
          <w:rtl w:val="0"/>
          <w:lang w:val="fr"/>
        </w:rPr>
        <w:t>POLITIQUE</w:t>
      </w:r>
    </w:p>
    <w:p w:rsidR="00D05962" w:rsidRPr="0051357C" w:rsidP="008E4FBA" w14:paraId="30FD2BD1" w14:textId="77777777">
      <w:pPr>
        <w:jc w:val="center"/>
        <w:rPr>
          <w:rFonts w:ascii="Arial" w:hAnsi="Arial" w:cs="Arial"/>
          <w:b/>
          <w:bCs/>
          <w:sz w:val="68"/>
          <w:szCs w:val="68"/>
        </w:rPr>
      </w:pPr>
    </w:p>
    <w:p w:rsidR="004F2E81" w:rsidRPr="0051357C" w:rsidP="008E4FBA" w14:paraId="75AC08D2" w14:textId="77777777">
      <w:pPr>
        <w:jc w:val="center"/>
        <w:rPr>
          <w:rFonts w:ascii="Arial" w:hAnsi="Arial" w:cs="Arial"/>
          <w:b/>
          <w:bCs/>
          <w:sz w:val="44"/>
        </w:rPr>
      </w:pPr>
    </w:p>
    <w:p w:rsidR="004F2E81" w:rsidP="008E4FBA" w14:paraId="63DB44B1" w14:textId="77777777">
      <w:pPr>
        <w:jc w:val="center"/>
        <w:rPr>
          <w:sz w:val="44"/>
        </w:rPr>
      </w:pPr>
    </w:p>
    <w:p w:rsidR="004F2E81" w:rsidP="008E4FBA" w14:paraId="6DE7236C" w14:textId="77777777">
      <w:pPr>
        <w:jc w:val="center"/>
        <w:rPr>
          <w:sz w:val="44"/>
        </w:rPr>
      </w:pPr>
    </w:p>
    <w:p w:rsidR="004F2E81" w:rsidP="008E4FBA" w14:paraId="5746E05E" w14:textId="77777777">
      <w:pPr>
        <w:jc w:val="center"/>
        <w:rPr>
          <w:sz w:val="44"/>
        </w:rPr>
      </w:pPr>
    </w:p>
    <w:p w:rsidR="004F2E81" w:rsidP="008E4FBA" w14:paraId="551A52FC" w14:textId="77777777">
      <w:pPr>
        <w:jc w:val="center"/>
        <w:rPr>
          <w:sz w:val="44"/>
        </w:rPr>
      </w:pPr>
    </w:p>
    <w:p w:rsidR="004F2E81" w:rsidP="008E4FBA" w14:paraId="6DEE6968" w14:textId="77777777">
      <w:pPr>
        <w:jc w:val="center"/>
        <w:rPr>
          <w:sz w:val="44"/>
        </w:rPr>
      </w:pPr>
    </w:p>
    <w:p w:rsidR="004F2E81" w:rsidP="008E4FBA" w14:paraId="6E4EAF24" w14:textId="77777777">
      <w:pPr>
        <w:jc w:val="center"/>
        <w:rPr>
          <w:sz w:val="44"/>
        </w:rPr>
      </w:pPr>
    </w:p>
    <w:p w:rsidR="004F2E81" w:rsidP="008E4FBA" w14:paraId="5BA1FBBA" w14:textId="77777777">
      <w:pPr>
        <w:jc w:val="center"/>
        <w:rPr>
          <w:sz w:val="44"/>
        </w:rPr>
      </w:pPr>
    </w:p>
    <w:p w:rsidR="004F2E81" w:rsidP="008E4FBA" w14:paraId="52AF8C3F" w14:textId="6F5D71F6">
      <w:pPr>
        <w:jc w:val="center"/>
        <w:rPr>
          <w:sz w:val="44"/>
        </w:rPr>
      </w:pPr>
    </w:p>
    <w:p w:rsidR="00F3568E" w:rsidP="008E4FBA" w14:paraId="6EE9D896" w14:textId="7E2C98E1">
      <w:pPr>
        <w:jc w:val="center"/>
        <w:rPr>
          <w:sz w:val="44"/>
        </w:rPr>
      </w:pPr>
    </w:p>
    <w:p w:rsidR="00F3568E" w:rsidP="3F806670" w14:paraId="0FF1FDF5" w14:textId="08CA2F5A">
      <w:pPr>
        <w:jc w:val="center"/>
        <w:rPr>
          <w:sz w:val="44"/>
          <w:szCs w:val="44"/>
        </w:rPr>
      </w:pPr>
    </w:p>
    <w:p w:rsidR="008E4FBA" w:rsidRPr="00593902" w:rsidP="00593902" w14:paraId="0ECA548E" w14:textId="77777777">
      <w:pPr>
        <w:rPr>
          <w:sz w:val="32"/>
          <w:szCs w:val="32"/>
        </w:rPr>
      </w:pPr>
    </w:p>
    <w:p w:rsidR="00D72604" w:rsidP="00593902" w14:paraId="1414A4C6" w14:textId="77777777">
      <w:pPr>
        <w:jc w:val="center"/>
        <w:rPr>
          <w:rFonts w:asciiTheme="majorHAnsi" w:hAnsiTheme="majorHAnsi" w:cstheme="majorHAnsi"/>
          <w:b/>
          <w:bCs/>
          <w:sz w:val="32"/>
          <w:szCs w:val="32"/>
        </w:rPr>
      </w:pPr>
    </w:p>
    <w:p w:rsidR="00337B8A" w:rsidRPr="00593902" w:rsidP="00593902" w14:paraId="11E2A833" w14:textId="2FA97C5C">
      <w:pPr>
        <w:bidi w:val="0"/>
        <w:jc w:val="center"/>
        <w:rPr>
          <w:rFonts w:asciiTheme="majorHAnsi" w:eastAsiaTheme="majorEastAsia" w:hAnsiTheme="majorHAnsi" w:cstheme="majorHAnsi"/>
          <w:b/>
          <w:bCs/>
          <w:color w:val="1F497D" w:themeColor="text2"/>
          <w:sz w:val="32"/>
          <w:szCs w:val="32"/>
        </w:rPr>
      </w:pPr>
      <w:r w:rsidRPr="00593902">
        <w:rPr>
          <w:rFonts w:asciiTheme="majorHAnsi" w:hAnsiTheme="majorHAnsi" w:cstheme="majorHAnsi"/>
          <w:b/>
          <w:bCs/>
          <w:sz w:val="32"/>
          <w:szCs w:val="32"/>
          <w:rtl w:val="0"/>
          <w:lang w:val="fr"/>
        </w:rPr>
        <w:t>TABLE DES MATIÈRES</w:t>
      </w:r>
    </w:p>
    <w:p w14:paraId="433FDCD6" w14:textId="3D8696F1">
      <w:pPr>
        <w:pStyle w:val="TOC1"/>
        <w:rPr>
          <w:rFonts w:asciiTheme="minorHAnsi" w:hAnsiTheme="minorHAnsi"/>
          <w:noProof/>
          <w:sz w:val="22"/>
        </w:rPr>
      </w:pPr>
      <w:r w:rsidRPr="00D20217">
        <w:rPr>
          <w:rFonts w:asciiTheme="majorHAnsi" w:hAnsiTheme="majorHAnsi" w:cstheme="majorHAnsi"/>
          <w:sz w:val="22"/>
          <w:szCs w:val="22"/>
        </w:rPr>
        <w:fldChar w:fldCharType="begin"/>
      </w:r>
      <w:r w:rsidRPr="00D20217">
        <w:rPr>
          <w:rFonts w:asciiTheme="majorHAnsi" w:hAnsiTheme="majorHAnsi" w:cstheme="majorHAnsi"/>
          <w:sz w:val="22"/>
          <w:szCs w:val="22"/>
        </w:rPr>
        <w:instrText xml:space="preserve"> TOC \o "1-3" \h \z \u </w:instrText>
      </w:r>
      <w:r w:rsidRPr="00D20217">
        <w:rPr>
          <w:rFonts w:asciiTheme="majorHAnsi" w:hAnsiTheme="majorHAnsi" w:cstheme="majorHAnsi"/>
          <w:sz w:val="22"/>
          <w:szCs w:val="22"/>
        </w:rPr>
        <w:fldChar w:fldCharType="separate"/>
      </w:r>
      <w:hyperlink w:anchor="_Toc256000000" w:history="1">
        <w:r>
          <w:rPr>
            <w:rStyle w:val="Hyperlink"/>
            <w:rFonts w:cstheme="majorHAnsi"/>
          </w:rPr>
          <w:t>I.</w:t>
        </w:r>
        <w:r>
          <w:rPr>
            <w:rFonts w:asciiTheme="minorHAnsi" w:hAnsiTheme="minorHAnsi" w:cstheme="majorHAnsi"/>
            <w:noProof/>
            <w:sz w:val="22"/>
          </w:rPr>
          <w:tab/>
        </w:r>
        <w:r w:rsidRPr="0051357C">
          <w:rPr>
            <w:rStyle w:val="Hyperlink"/>
            <w:rFonts w:cstheme="majorHAnsi"/>
            <w:lang w:val="fr"/>
          </w:rPr>
          <w:t>OBJECTIF</w:t>
        </w:r>
        <w:r>
          <w:tab/>
        </w:r>
        <w:r>
          <w:fldChar w:fldCharType="begin"/>
        </w:r>
        <w:r>
          <w:instrText xml:space="preserve"> PAGEREF _Toc256000000 \h </w:instrText>
        </w:r>
        <w:r>
          <w:fldChar w:fldCharType="separate"/>
        </w:r>
        <w:r>
          <w:t>3</w:t>
        </w:r>
        <w:r>
          <w:fldChar w:fldCharType="end"/>
        </w:r>
      </w:hyperlink>
    </w:p>
    <w:p>
      <w:pPr>
        <w:pStyle w:val="TOC1"/>
        <w:rPr>
          <w:rFonts w:asciiTheme="minorHAnsi" w:hAnsiTheme="minorHAnsi"/>
          <w:noProof/>
          <w:sz w:val="22"/>
        </w:rPr>
      </w:pPr>
      <w:hyperlink w:anchor="_Toc256000001" w:history="1">
        <w:r>
          <w:rPr>
            <w:rStyle w:val="Hyperlink"/>
            <w:rFonts w:cstheme="majorHAnsi"/>
          </w:rPr>
          <w:t>II.</w:t>
        </w:r>
        <w:r>
          <w:rPr>
            <w:rFonts w:asciiTheme="minorHAnsi" w:hAnsiTheme="minorHAnsi" w:cstheme="majorHAnsi"/>
            <w:noProof/>
            <w:sz w:val="22"/>
          </w:rPr>
          <w:tab/>
        </w:r>
        <w:r w:rsidRPr="0051357C">
          <w:rPr>
            <w:rStyle w:val="Hyperlink"/>
            <w:rFonts w:cstheme="majorHAnsi"/>
            <w:lang w:val="fr"/>
          </w:rPr>
          <w:t>DÉFINITIONS</w:t>
        </w:r>
        <w:r>
          <w:tab/>
        </w:r>
        <w:r>
          <w:fldChar w:fldCharType="begin"/>
        </w:r>
        <w:r>
          <w:instrText xml:space="preserve"> PAGEREF _Toc256000001 \h </w:instrText>
        </w:r>
        <w:r>
          <w:fldChar w:fldCharType="separate"/>
        </w:r>
        <w:r>
          <w:t>3</w:t>
        </w:r>
        <w:r>
          <w:fldChar w:fldCharType="end"/>
        </w:r>
      </w:hyperlink>
    </w:p>
    <w:p>
      <w:pPr>
        <w:pStyle w:val="TOC1"/>
        <w:rPr>
          <w:rFonts w:asciiTheme="minorHAnsi" w:hAnsiTheme="minorHAnsi"/>
          <w:noProof/>
          <w:sz w:val="22"/>
        </w:rPr>
      </w:pPr>
      <w:hyperlink w:anchor="_Toc256000002" w:history="1">
        <w:r>
          <w:rPr>
            <w:rStyle w:val="Hyperlink"/>
            <w:rFonts w:cstheme="majorHAnsi"/>
          </w:rPr>
          <w:t>III.</w:t>
        </w:r>
        <w:r>
          <w:rPr>
            <w:rFonts w:asciiTheme="minorHAnsi" w:hAnsiTheme="minorHAnsi" w:cstheme="majorHAnsi"/>
            <w:noProof/>
            <w:sz w:val="22"/>
          </w:rPr>
          <w:tab/>
        </w:r>
        <w:r w:rsidRPr="008E0A00">
          <w:rPr>
            <w:rStyle w:val="Hyperlink"/>
            <w:rFonts w:cstheme="majorHAnsi"/>
            <w:lang w:val="fr"/>
          </w:rPr>
          <w:t>CHAMP D'APPLICATION</w:t>
        </w:r>
        <w:r>
          <w:tab/>
        </w:r>
        <w:r>
          <w:fldChar w:fldCharType="begin"/>
        </w:r>
        <w:r>
          <w:instrText xml:space="preserve"> PAGEREF _Toc256000002 \h </w:instrText>
        </w:r>
        <w:r>
          <w:fldChar w:fldCharType="separate"/>
        </w:r>
        <w:r>
          <w:t>4</w:t>
        </w:r>
        <w:r>
          <w:fldChar w:fldCharType="end"/>
        </w:r>
      </w:hyperlink>
    </w:p>
    <w:p>
      <w:pPr>
        <w:pStyle w:val="TOC2"/>
        <w:tabs>
          <w:tab w:val="left" w:pos="720"/>
          <w:tab w:val="right" w:leader="dot" w:pos="10358"/>
        </w:tabs>
        <w:rPr>
          <w:rFonts w:asciiTheme="minorHAnsi" w:hAnsiTheme="minorHAnsi"/>
          <w:noProof/>
          <w:sz w:val="22"/>
        </w:rPr>
      </w:pPr>
      <w:hyperlink w:anchor="_Toc256000003" w:history="1">
        <w:r>
          <w:rPr>
            <w:rStyle w:val="Hyperlink"/>
            <w:rFonts w:cstheme="majorHAnsi"/>
          </w:rPr>
          <w:t>A.</w:t>
        </w:r>
        <w:r>
          <w:rPr>
            <w:rFonts w:asciiTheme="minorHAnsi" w:hAnsiTheme="minorHAnsi" w:cstheme="majorHAnsi"/>
            <w:noProof/>
            <w:sz w:val="22"/>
          </w:rPr>
          <w:tab/>
        </w:r>
        <w:r w:rsidRPr="0074239A">
          <w:rPr>
            <w:rStyle w:val="Hyperlink"/>
            <w:rFonts w:cstheme="majorHAnsi"/>
            <w:lang w:val="fr"/>
          </w:rPr>
          <w:t>Champ d'application géographique</w:t>
        </w:r>
        <w:r>
          <w:tab/>
        </w:r>
        <w:r>
          <w:fldChar w:fldCharType="begin"/>
        </w:r>
        <w:r>
          <w:instrText xml:space="preserve"> PAGEREF _Toc256000003 \h </w:instrText>
        </w:r>
        <w:r>
          <w:fldChar w:fldCharType="separate"/>
        </w:r>
        <w:r>
          <w:t>4</w:t>
        </w:r>
        <w:r>
          <w:fldChar w:fldCharType="end"/>
        </w:r>
      </w:hyperlink>
    </w:p>
    <w:p>
      <w:pPr>
        <w:pStyle w:val="TOC2"/>
        <w:tabs>
          <w:tab w:val="left" w:pos="720"/>
          <w:tab w:val="right" w:leader="dot" w:pos="10358"/>
        </w:tabs>
        <w:rPr>
          <w:rFonts w:asciiTheme="minorHAnsi" w:hAnsiTheme="minorHAnsi"/>
          <w:noProof/>
          <w:sz w:val="22"/>
        </w:rPr>
      </w:pPr>
      <w:hyperlink w:anchor="_Toc256000004" w:history="1">
        <w:r>
          <w:rPr>
            <w:rStyle w:val="Hyperlink"/>
            <w:rFonts w:cstheme="majorHAnsi"/>
          </w:rPr>
          <w:t>B.</w:t>
        </w:r>
        <w:r>
          <w:rPr>
            <w:rFonts w:asciiTheme="minorHAnsi" w:hAnsiTheme="minorHAnsi" w:cstheme="majorHAnsi"/>
            <w:noProof/>
            <w:sz w:val="22"/>
          </w:rPr>
          <w:tab/>
        </w:r>
        <w:r>
          <w:rPr>
            <w:rStyle w:val="Hyperlink"/>
            <w:rFonts w:cstheme="majorHAnsi"/>
            <w:lang w:val="fr"/>
          </w:rPr>
          <w:t>Rôles dans le champ d'application de la politique</w:t>
        </w:r>
        <w:r>
          <w:tab/>
        </w:r>
        <w:r>
          <w:fldChar w:fldCharType="begin"/>
        </w:r>
        <w:r>
          <w:instrText xml:space="preserve"> PAGEREF _Toc256000004 \h </w:instrText>
        </w:r>
        <w:r>
          <w:fldChar w:fldCharType="separate"/>
        </w:r>
        <w:r>
          <w:t>4</w:t>
        </w:r>
        <w:r>
          <w:fldChar w:fldCharType="end"/>
        </w:r>
      </w:hyperlink>
    </w:p>
    <w:p>
      <w:pPr>
        <w:pStyle w:val="TOC3"/>
        <w:tabs>
          <w:tab w:val="right" w:leader="dot" w:pos="10358"/>
        </w:tabs>
        <w:rPr>
          <w:rFonts w:asciiTheme="minorHAnsi" w:hAnsiTheme="minorHAnsi"/>
          <w:noProof/>
          <w:sz w:val="22"/>
        </w:rPr>
      </w:pPr>
      <w:hyperlink w:anchor="_Toc256000005" w:history="1">
        <w:r w:rsidRPr="00F413DF">
          <w:rPr>
            <w:rStyle w:val="Hyperlink"/>
            <w:rFonts w:asciiTheme="majorHAnsi" w:eastAsiaTheme="majorEastAsia" w:hAnsiTheme="majorHAnsi" w:cstheme="majorBidi"/>
            <w:lang w:val="fr"/>
          </w:rPr>
          <w:t>Main-d'œuvre intérimaire</w:t>
        </w:r>
        <w:r>
          <w:tab/>
        </w:r>
        <w:r>
          <w:fldChar w:fldCharType="begin"/>
        </w:r>
        <w:r>
          <w:instrText xml:space="preserve"> PAGEREF _Toc256000005 \h </w:instrText>
        </w:r>
        <w:r>
          <w:fldChar w:fldCharType="separate"/>
        </w:r>
        <w:r>
          <w:t>4</w:t>
        </w:r>
        <w:r>
          <w:fldChar w:fldCharType="end"/>
        </w:r>
      </w:hyperlink>
    </w:p>
    <w:p>
      <w:pPr>
        <w:pStyle w:val="TOC2"/>
        <w:tabs>
          <w:tab w:val="left" w:pos="720"/>
          <w:tab w:val="right" w:leader="dot" w:pos="10358"/>
        </w:tabs>
        <w:rPr>
          <w:rFonts w:asciiTheme="minorHAnsi" w:hAnsiTheme="minorHAnsi"/>
          <w:noProof/>
          <w:sz w:val="22"/>
        </w:rPr>
      </w:pPr>
      <w:hyperlink w:anchor="_Toc256000006" w:history="1">
        <w:r>
          <w:rPr>
            <w:rStyle w:val="Hyperlink"/>
            <w:rFonts w:cstheme="majorHAnsi"/>
            <w:lang w:eastAsia="nl-NL" w:bidi="nl-NL"/>
          </w:rPr>
          <w:t>C.</w:t>
        </w:r>
        <w:r>
          <w:rPr>
            <w:rFonts w:asciiTheme="minorHAnsi" w:hAnsiTheme="minorHAnsi" w:cstheme="majorHAnsi"/>
            <w:noProof/>
            <w:sz w:val="22"/>
            <w:lang w:eastAsia="nl-NL" w:bidi="nl-NL"/>
          </w:rPr>
          <w:tab/>
        </w:r>
        <w:r>
          <w:rPr>
            <w:rStyle w:val="Hyperlink"/>
            <w:rFonts w:cstheme="majorHAnsi"/>
            <w:lang w:val="fr"/>
          </w:rPr>
          <w:t>Rôles hors du champ d'application de la politique</w:t>
        </w:r>
        <w:r>
          <w:tab/>
        </w:r>
        <w:r>
          <w:fldChar w:fldCharType="begin"/>
        </w:r>
        <w:r>
          <w:instrText xml:space="preserve"> PAGEREF _Toc256000006 \h </w:instrText>
        </w:r>
        <w:r>
          <w:fldChar w:fldCharType="separate"/>
        </w:r>
        <w:r>
          <w:t>5</w:t>
        </w:r>
        <w:r>
          <w:fldChar w:fldCharType="end"/>
        </w:r>
      </w:hyperlink>
    </w:p>
    <w:p>
      <w:pPr>
        <w:pStyle w:val="TOC3"/>
        <w:tabs>
          <w:tab w:val="right" w:leader="dot" w:pos="10358"/>
        </w:tabs>
        <w:rPr>
          <w:rFonts w:asciiTheme="minorHAnsi" w:hAnsiTheme="minorHAnsi"/>
          <w:noProof/>
          <w:sz w:val="22"/>
        </w:rPr>
      </w:pPr>
      <w:hyperlink w:anchor="_Toc256000007" w:history="1">
        <w:r w:rsidRPr="0051357C">
          <w:rPr>
            <w:rStyle w:val="Hyperlink"/>
            <w:rFonts w:cstheme="majorHAnsi"/>
            <w:lang w:val="fr"/>
          </w:rPr>
          <w:t>Employés de Brink's</w:t>
        </w:r>
        <w:r>
          <w:tab/>
        </w:r>
        <w:r>
          <w:fldChar w:fldCharType="begin"/>
        </w:r>
        <w:r>
          <w:instrText xml:space="preserve"> PAGEREF _Toc256000007 \h </w:instrText>
        </w:r>
        <w:r>
          <w:fldChar w:fldCharType="separate"/>
        </w:r>
        <w:r>
          <w:t>5</w:t>
        </w:r>
        <w:r>
          <w:fldChar w:fldCharType="end"/>
        </w:r>
      </w:hyperlink>
    </w:p>
    <w:p>
      <w:pPr>
        <w:pStyle w:val="TOC3"/>
        <w:tabs>
          <w:tab w:val="right" w:leader="dot" w:pos="10358"/>
        </w:tabs>
        <w:rPr>
          <w:rFonts w:asciiTheme="minorHAnsi" w:hAnsiTheme="minorHAnsi"/>
          <w:noProof/>
          <w:sz w:val="22"/>
        </w:rPr>
      </w:pPr>
      <w:hyperlink w:anchor="_Toc256000008" w:history="1">
        <w:r w:rsidRPr="0051357C">
          <w:rPr>
            <w:rStyle w:val="Hyperlink"/>
            <w:rFonts w:cstheme="majorHAnsi"/>
            <w:lang w:val="fr"/>
          </w:rPr>
          <w:t>Stages</w:t>
        </w:r>
        <w:r>
          <w:tab/>
        </w:r>
        <w:r>
          <w:fldChar w:fldCharType="begin"/>
        </w:r>
        <w:r>
          <w:instrText xml:space="preserve"> PAGEREF _Toc256000008 \h </w:instrText>
        </w:r>
        <w:r>
          <w:fldChar w:fldCharType="separate"/>
        </w:r>
        <w:r>
          <w:t>5</w:t>
        </w:r>
        <w:r>
          <w:fldChar w:fldCharType="end"/>
        </w:r>
      </w:hyperlink>
    </w:p>
    <w:p>
      <w:pPr>
        <w:pStyle w:val="TOC3"/>
        <w:tabs>
          <w:tab w:val="right" w:leader="dot" w:pos="10358"/>
        </w:tabs>
        <w:rPr>
          <w:rFonts w:asciiTheme="minorHAnsi" w:hAnsiTheme="minorHAnsi"/>
          <w:noProof/>
          <w:sz w:val="22"/>
        </w:rPr>
      </w:pPr>
      <w:hyperlink w:anchor="_Toc256000009" w:history="1">
        <w:r w:rsidRPr="0051357C">
          <w:rPr>
            <w:rStyle w:val="Hyperlink"/>
            <w:rFonts w:cstheme="majorHAnsi"/>
            <w:lang w:val="fr"/>
          </w:rPr>
          <w:t>Travailleurs de première ligne</w:t>
        </w:r>
        <w:r>
          <w:tab/>
        </w:r>
        <w:r>
          <w:fldChar w:fldCharType="begin"/>
        </w:r>
        <w:r>
          <w:instrText xml:space="preserve"> PAGEREF _Toc256000009 \h </w:instrText>
        </w:r>
        <w:r>
          <w:fldChar w:fldCharType="separate"/>
        </w:r>
        <w:r>
          <w:t>5</w:t>
        </w:r>
        <w:r>
          <w:fldChar w:fldCharType="end"/>
        </w:r>
      </w:hyperlink>
    </w:p>
    <w:p>
      <w:pPr>
        <w:pStyle w:val="TOC3"/>
        <w:tabs>
          <w:tab w:val="right" w:leader="dot" w:pos="10358"/>
        </w:tabs>
        <w:rPr>
          <w:rFonts w:asciiTheme="minorHAnsi" w:hAnsiTheme="minorHAnsi"/>
          <w:noProof/>
          <w:sz w:val="22"/>
        </w:rPr>
      </w:pPr>
      <w:hyperlink w:anchor="_Toc256000010" w:history="1">
        <w:r w:rsidRPr="0051357C">
          <w:rPr>
            <w:rStyle w:val="Hyperlink"/>
            <w:rFonts w:cstheme="majorHAnsi"/>
            <w:lang w:val="fr"/>
          </w:rPr>
          <w:t>Entreprises d'externalisation des processus d'affaires (BPO)</w:t>
        </w:r>
        <w:r>
          <w:tab/>
        </w:r>
        <w:r>
          <w:fldChar w:fldCharType="begin"/>
        </w:r>
        <w:r>
          <w:instrText xml:space="preserve"> PAGEREF _Toc256000010 \h </w:instrText>
        </w:r>
        <w:r>
          <w:fldChar w:fldCharType="separate"/>
        </w:r>
        <w:r>
          <w:t>5</w:t>
        </w:r>
        <w:r>
          <w:fldChar w:fldCharType="end"/>
        </w:r>
      </w:hyperlink>
    </w:p>
    <w:p>
      <w:pPr>
        <w:pStyle w:val="TOC3"/>
        <w:tabs>
          <w:tab w:val="right" w:leader="dot" w:pos="10358"/>
        </w:tabs>
        <w:rPr>
          <w:rFonts w:asciiTheme="minorHAnsi" w:hAnsiTheme="minorHAnsi"/>
          <w:noProof/>
          <w:sz w:val="22"/>
        </w:rPr>
      </w:pPr>
      <w:hyperlink w:anchor="_Toc256000011" w:history="1">
        <w:r w:rsidRPr="0051357C">
          <w:rPr>
            <w:rStyle w:val="Hyperlink"/>
            <w:rFonts w:cstheme="majorHAnsi"/>
            <w:lang w:val="fr" w:eastAsia="nl-NL" w:bidi="nl-NL"/>
          </w:rPr>
          <w:t>Projets de consultation</w:t>
        </w:r>
        <w:r>
          <w:tab/>
        </w:r>
        <w:r>
          <w:fldChar w:fldCharType="begin"/>
        </w:r>
        <w:r>
          <w:instrText xml:space="preserve"> PAGEREF _Toc256000011 \h </w:instrText>
        </w:r>
        <w:r>
          <w:fldChar w:fldCharType="separate"/>
        </w:r>
        <w:r>
          <w:t>5</w:t>
        </w:r>
        <w:r>
          <w:fldChar w:fldCharType="end"/>
        </w:r>
      </w:hyperlink>
    </w:p>
    <w:p>
      <w:pPr>
        <w:pStyle w:val="TOC1"/>
        <w:rPr>
          <w:rFonts w:asciiTheme="minorHAnsi" w:hAnsiTheme="minorHAnsi"/>
          <w:noProof/>
          <w:sz w:val="22"/>
        </w:rPr>
      </w:pPr>
      <w:hyperlink w:anchor="_Toc256000012" w:history="1">
        <w:r>
          <w:rPr>
            <w:rStyle w:val="Hyperlink"/>
            <w:rFonts w:eastAsia="Calibri"/>
            <w:lang w:eastAsia="nl-NL" w:bidi="nl-NL"/>
          </w:rPr>
          <w:t>IV.</w:t>
        </w:r>
        <w:r>
          <w:rPr>
            <w:rFonts w:eastAsia="Calibri" w:asciiTheme="minorHAnsi" w:hAnsiTheme="minorHAnsi"/>
            <w:noProof/>
            <w:sz w:val="22"/>
            <w:lang w:eastAsia="nl-NL" w:bidi="nl-NL"/>
          </w:rPr>
          <w:tab/>
        </w:r>
        <w:r w:rsidRPr="00852C02">
          <w:rPr>
            <w:rStyle w:val="Hyperlink"/>
            <w:lang w:val="fr"/>
          </w:rPr>
          <w:t>RÈGLES POUR L'ENGAGEMENT DE TRAVAILLEURS OCCASIONNELS</w:t>
        </w:r>
        <w:r>
          <w:tab/>
        </w:r>
        <w:r>
          <w:fldChar w:fldCharType="begin"/>
        </w:r>
        <w:r>
          <w:instrText xml:space="preserve"> PAGEREF _Toc256000012 \h </w:instrText>
        </w:r>
        <w:r>
          <w:fldChar w:fldCharType="separate"/>
        </w:r>
        <w:r>
          <w:t>7</w:t>
        </w:r>
        <w:r>
          <w:fldChar w:fldCharType="end"/>
        </w:r>
      </w:hyperlink>
    </w:p>
    <w:p>
      <w:pPr>
        <w:pStyle w:val="TOC2"/>
        <w:tabs>
          <w:tab w:val="left" w:pos="720"/>
          <w:tab w:val="right" w:leader="dot" w:pos="10358"/>
        </w:tabs>
        <w:rPr>
          <w:rFonts w:asciiTheme="minorHAnsi" w:hAnsiTheme="minorHAnsi"/>
          <w:noProof/>
          <w:sz w:val="22"/>
        </w:rPr>
      </w:pPr>
      <w:hyperlink w:anchor="_Toc256000013" w:history="1">
        <w:r>
          <w:rPr>
            <w:rStyle w:val="Hyperlink"/>
          </w:rPr>
          <w:t>A.</w:t>
        </w:r>
        <w:r>
          <w:rPr>
            <w:rFonts w:asciiTheme="minorHAnsi" w:hAnsiTheme="minorHAnsi"/>
            <w:noProof/>
            <w:sz w:val="22"/>
          </w:rPr>
          <w:tab/>
        </w:r>
        <w:r w:rsidRPr="3766A6B7">
          <w:rPr>
            <w:rStyle w:val="Hyperlink"/>
            <w:lang w:val="fr"/>
          </w:rPr>
          <w:t>Processus décisionnel global</w:t>
        </w:r>
        <w:r>
          <w:tab/>
        </w:r>
        <w:r>
          <w:fldChar w:fldCharType="begin"/>
        </w:r>
        <w:r>
          <w:instrText xml:space="preserve"> PAGEREF _Toc256000013 \h </w:instrText>
        </w:r>
        <w:r>
          <w:fldChar w:fldCharType="separate"/>
        </w:r>
        <w:r>
          <w:t>7</w:t>
        </w:r>
        <w:r>
          <w:fldChar w:fldCharType="end"/>
        </w:r>
      </w:hyperlink>
    </w:p>
    <w:p>
      <w:pPr>
        <w:pStyle w:val="TOC2"/>
        <w:tabs>
          <w:tab w:val="left" w:pos="720"/>
          <w:tab w:val="right" w:leader="dot" w:pos="10358"/>
        </w:tabs>
        <w:rPr>
          <w:rFonts w:asciiTheme="minorHAnsi" w:hAnsiTheme="minorHAnsi"/>
          <w:noProof/>
          <w:sz w:val="22"/>
        </w:rPr>
      </w:pPr>
      <w:hyperlink w:anchor="_Toc256000014" w:history="1">
        <w:r>
          <w:rPr>
            <w:rStyle w:val="Hyperlink"/>
          </w:rPr>
          <w:t>B.</w:t>
        </w:r>
        <w:r>
          <w:rPr>
            <w:rFonts w:asciiTheme="minorHAnsi" w:hAnsiTheme="minorHAnsi"/>
            <w:noProof/>
            <w:sz w:val="22"/>
          </w:rPr>
          <w:tab/>
        </w:r>
        <w:r w:rsidRPr="0051357C">
          <w:rPr>
            <w:rStyle w:val="Hyperlink"/>
            <w:lang w:val="fr"/>
          </w:rPr>
          <w:t>Liste mondiale des fournisseurs privilégiés</w:t>
        </w:r>
        <w:r>
          <w:tab/>
        </w:r>
        <w:r>
          <w:fldChar w:fldCharType="begin"/>
        </w:r>
        <w:r>
          <w:instrText xml:space="preserve"> PAGEREF _Toc256000014 \h </w:instrText>
        </w:r>
        <w:r>
          <w:fldChar w:fldCharType="separate"/>
        </w:r>
        <w:r>
          <w:t>7</w:t>
        </w:r>
        <w:r>
          <w:fldChar w:fldCharType="end"/>
        </w:r>
      </w:hyperlink>
    </w:p>
    <w:p>
      <w:pPr>
        <w:pStyle w:val="TOC2"/>
        <w:tabs>
          <w:tab w:val="left" w:pos="720"/>
          <w:tab w:val="right" w:leader="dot" w:pos="10358"/>
        </w:tabs>
        <w:rPr>
          <w:rFonts w:asciiTheme="minorHAnsi" w:hAnsiTheme="minorHAnsi"/>
          <w:noProof/>
          <w:sz w:val="22"/>
        </w:rPr>
      </w:pPr>
      <w:hyperlink w:anchor="_Toc256000015" w:history="1">
        <w:r>
          <w:rPr>
            <w:rStyle w:val="Hyperlink"/>
          </w:rPr>
          <w:t>C.</w:t>
        </w:r>
        <w:r>
          <w:rPr>
            <w:rFonts w:asciiTheme="minorHAnsi" w:hAnsiTheme="minorHAnsi"/>
            <w:noProof/>
            <w:sz w:val="22"/>
          </w:rPr>
          <w:tab/>
        </w:r>
        <w:r w:rsidRPr="74515DB9">
          <w:rPr>
            <w:rStyle w:val="Hyperlink"/>
            <w:lang w:val="fr"/>
          </w:rPr>
          <w:t>Faire appel à l'approvisionnement stratégique</w:t>
        </w:r>
        <w:r>
          <w:tab/>
        </w:r>
        <w:r>
          <w:fldChar w:fldCharType="begin"/>
        </w:r>
        <w:r>
          <w:instrText xml:space="preserve"> PAGEREF _Toc256000015 \h </w:instrText>
        </w:r>
        <w:r>
          <w:fldChar w:fldCharType="separate"/>
        </w:r>
        <w:r>
          <w:t>8</w:t>
        </w:r>
        <w:r>
          <w:fldChar w:fldCharType="end"/>
        </w:r>
      </w:hyperlink>
    </w:p>
    <w:p>
      <w:pPr>
        <w:pStyle w:val="TOC3"/>
        <w:tabs>
          <w:tab w:val="right" w:leader="dot" w:pos="10358"/>
        </w:tabs>
        <w:rPr>
          <w:rFonts w:asciiTheme="minorHAnsi" w:hAnsiTheme="minorHAnsi"/>
          <w:noProof/>
          <w:sz w:val="22"/>
        </w:rPr>
      </w:pPr>
      <w:hyperlink w:anchor="_Toc256000016" w:history="1">
        <w:r w:rsidRPr="00FA438B" w:rsidR="00141344">
          <w:rPr>
            <w:rStyle w:val="Hyperlink"/>
            <w:lang w:val="fr"/>
          </w:rPr>
          <w:t>Engager des travailleurs intérimaires</w:t>
        </w:r>
        <w:r>
          <w:tab/>
        </w:r>
        <w:r>
          <w:fldChar w:fldCharType="begin"/>
        </w:r>
        <w:r>
          <w:instrText xml:space="preserve"> PAGEREF _Toc256000016 \h </w:instrText>
        </w:r>
        <w:r>
          <w:fldChar w:fldCharType="separate"/>
        </w:r>
        <w:r>
          <w:t>8</w:t>
        </w:r>
        <w:r>
          <w:fldChar w:fldCharType="end"/>
        </w:r>
      </w:hyperlink>
    </w:p>
    <w:p>
      <w:pPr>
        <w:pStyle w:val="TOC3"/>
        <w:tabs>
          <w:tab w:val="right" w:leader="dot" w:pos="10358"/>
        </w:tabs>
        <w:rPr>
          <w:rFonts w:asciiTheme="minorHAnsi" w:hAnsiTheme="minorHAnsi"/>
          <w:noProof/>
          <w:sz w:val="22"/>
        </w:rPr>
      </w:pPr>
      <w:hyperlink w:anchor="_Toc256000017" w:history="1">
        <w:r w:rsidRPr="6B3824FD">
          <w:rPr>
            <w:rStyle w:val="Hyperlink"/>
            <w:lang w:val="fr"/>
          </w:rPr>
          <w:t>Approbation du recrutement</w:t>
        </w:r>
        <w:r>
          <w:tab/>
        </w:r>
        <w:r>
          <w:fldChar w:fldCharType="begin"/>
        </w:r>
        <w:r>
          <w:instrText xml:space="preserve"> PAGEREF _Toc256000017 \h </w:instrText>
        </w:r>
        <w:r>
          <w:fldChar w:fldCharType="separate"/>
        </w:r>
        <w:r>
          <w:t>8</w:t>
        </w:r>
        <w:r>
          <w:fldChar w:fldCharType="end"/>
        </w:r>
      </w:hyperlink>
    </w:p>
    <w:p>
      <w:pPr>
        <w:pStyle w:val="TOC3"/>
        <w:tabs>
          <w:tab w:val="right" w:leader="dot" w:pos="10358"/>
        </w:tabs>
        <w:rPr>
          <w:rFonts w:asciiTheme="minorHAnsi" w:hAnsiTheme="minorHAnsi"/>
          <w:noProof/>
          <w:sz w:val="22"/>
        </w:rPr>
      </w:pPr>
      <w:hyperlink w:anchor="_Toc256000018" w:history="1">
        <w:r w:rsidRPr="6B3824FD">
          <w:rPr>
            <w:rStyle w:val="Hyperlink"/>
            <w:rFonts w:eastAsia="Calibri"/>
            <w:lang w:val="fr" w:eastAsia="nl-NL" w:bidi="nl-NL"/>
          </w:rPr>
          <w:t>Durée de l'affectation</w:t>
        </w:r>
        <w:r>
          <w:tab/>
        </w:r>
        <w:r>
          <w:fldChar w:fldCharType="begin"/>
        </w:r>
        <w:r>
          <w:instrText xml:space="preserve"> PAGEREF _Toc256000018 \h </w:instrText>
        </w:r>
        <w:r>
          <w:fldChar w:fldCharType="separate"/>
        </w:r>
        <w:r>
          <w:t>8</w:t>
        </w:r>
        <w:r>
          <w:fldChar w:fldCharType="end"/>
        </w:r>
      </w:hyperlink>
    </w:p>
    <w:p>
      <w:pPr>
        <w:pStyle w:val="TOC3"/>
        <w:tabs>
          <w:tab w:val="right" w:leader="dot" w:pos="10358"/>
        </w:tabs>
        <w:rPr>
          <w:rFonts w:asciiTheme="minorHAnsi" w:hAnsiTheme="minorHAnsi"/>
          <w:noProof/>
          <w:sz w:val="22"/>
        </w:rPr>
      </w:pPr>
      <w:hyperlink w:anchor="_Toc256000019" w:history="1">
        <w:r w:rsidRPr="0051357C">
          <w:rPr>
            <w:rStyle w:val="Hyperlink"/>
            <w:rFonts w:eastAsia="Calibri"/>
            <w:lang w:val="fr" w:eastAsia="nl-NL" w:bidi="nl-NL"/>
          </w:rPr>
          <w:t>Prolongations d'affectation</w:t>
        </w:r>
        <w:r>
          <w:tab/>
        </w:r>
        <w:r>
          <w:fldChar w:fldCharType="begin"/>
        </w:r>
        <w:r>
          <w:instrText xml:space="preserve"> PAGEREF _Toc256000019 \h </w:instrText>
        </w:r>
        <w:r>
          <w:fldChar w:fldCharType="separate"/>
        </w:r>
        <w:r>
          <w:t>9</w:t>
        </w:r>
        <w:r>
          <w:fldChar w:fldCharType="end"/>
        </w:r>
      </w:hyperlink>
    </w:p>
    <w:p>
      <w:pPr>
        <w:pStyle w:val="TOC3"/>
        <w:tabs>
          <w:tab w:val="right" w:leader="dot" w:pos="10358"/>
        </w:tabs>
        <w:rPr>
          <w:rFonts w:asciiTheme="minorHAnsi" w:hAnsiTheme="minorHAnsi"/>
          <w:noProof/>
          <w:sz w:val="22"/>
        </w:rPr>
      </w:pPr>
      <w:hyperlink w:anchor="_Toc256000020" w:history="1">
        <w:r w:rsidRPr="0051357C">
          <w:rPr>
            <w:rStyle w:val="Hyperlink"/>
            <w:rFonts w:eastAsia="Calibri"/>
            <w:lang w:val="fr" w:eastAsia="nl-NL" w:bidi="nl-NL"/>
          </w:rPr>
          <w:t>Durée du travail Période de séparation</w:t>
        </w:r>
        <w:r>
          <w:tab/>
        </w:r>
        <w:r>
          <w:fldChar w:fldCharType="begin"/>
        </w:r>
        <w:r>
          <w:instrText xml:space="preserve"> PAGEREF _Toc256000020 \h </w:instrText>
        </w:r>
        <w:r>
          <w:fldChar w:fldCharType="separate"/>
        </w:r>
        <w:r>
          <w:t>9</w:t>
        </w:r>
        <w:r>
          <w:fldChar w:fldCharType="end"/>
        </w:r>
      </w:hyperlink>
    </w:p>
    <w:p>
      <w:pPr>
        <w:pStyle w:val="TOC3"/>
        <w:tabs>
          <w:tab w:val="right" w:leader="dot" w:pos="10358"/>
        </w:tabs>
        <w:rPr>
          <w:rFonts w:asciiTheme="minorHAnsi" w:hAnsiTheme="minorHAnsi"/>
          <w:noProof/>
          <w:sz w:val="22"/>
        </w:rPr>
      </w:pPr>
      <w:hyperlink w:anchor="_Toc256000021" w:history="1">
        <w:r w:rsidRPr="0051357C">
          <w:rPr>
            <w:rStyle w:val="Hyperlink"/>
            <w:rFonts w:eastAsia="Calibri"/>
            <w:lang w:val="fr" w:eastAsia="nl-NL" w:bidi="nl-NL"/>
          </w:rPr>
          <w:t>Affectation Heures supplémentaires</w:t>
        </w:r>
        <w:r>
          <w:tab/>
        </w:r>
        <w:r>
          <w:fldChar w:fldCharType="begin"/>
        </w:r>
        <w:r>
          <w:instrText xml:space="preserve"> PAGEREF _Toc256000021 \h </w:instrText>
        </w:r>
        <w:r>
          <w:fldChar w:fldCharType="separate"/>
        </w:r>
        <w:r>
          <w:t>9</w:t>
        </w:r>
        <w:r>
          <w:fldChar w:fldCharType="end"/>
        </w:r>
      </w:hyperlink>
    </w:p>
    <w:p>
      <w:pPr>
        <w:pStyle w:val="TOC3"/>
        <w:tabs>
          <w:tab w:val="right" w:leader="dot" w:pos="10358"/>
        </w:tabs>
        <w:rPr>
          <w:rFonts w:asciiTheme="minorHAnsi" w:hAnsiTheme="minorHAnsi"/>
          <w:noProof/>
          <w:sz w:val="22"/>
        </w:rPr>
      </w:pPr>
      <w:hyperlink w:anchor="_Toc256000022" w:history="1">
        <w:r w:rsidRPr="0051357C">
          <w:rPr>
            <w:rStyle w:val="Hyperlink"/>
            <w:rFonts w:eastAsia="Calibri"/>
            <w:lang w:val="fr" w:eastAsia="nl-NL" w:bidi="nl-NL"/>
          </w:rPr>
          <w:t>Congé prolongé</w:t>
        </w:r>
        <w:r>
          <w:tab/>
        </w:r>
        <w:r>
          <w:fldChar w:fldCharType="begin"/>
        </w:r>
        <w:r>
          <w:instrText xml:space="preserve"> PAGEREF _Toc256000022 \h </w:instrText>
        </w:r>
        <w:r>
          <w:fldChar w:fldCharType="separate"/>
        </w:r>
        <w:r>
          <w:t>9</w:t>
        </w:r>
        <w:r>
          <w:fldChar w:fldCharType="end"/>
        </w:r>
      </w:hyperlink>
    </w:p>
    <w:p>
      <w:pPr>
        <w:pStyle w:val="TOC3"/>
        <w:tabs>
          <w:tab w:val="right" w:leader="dot" w:pos="10358"/>
        </w:tabs>
        <w:rPr>
          <w:rFonts w:asciiTheme="minorHAnsi" w:hAnsiTheme="minorHAnsi"/>
          <w:noProof/>
          <w:sz w:val="22"/>
        </w:rPr>
      </w:pPr>
      <w:hyperlink w:anchor="_Toc256000023" w:history="1">
        <w:r>
          <w:rPr>
            <w:rStyle w:val="Hyperlink"/>
            <w:rFonts w:eastAsia="Calibri"/>
            <w:lang w:val="fr" w:eastAsia="nl-NL" w:bidi="nl-NL"/>
          </w:rPr>
          <w:t>Embauches recommandées</w:t>
        </w:r>
        <w:r>
          <w:tab/>
        </w:r>
        <w:r>
          <w:fldChar w:fldCharType="begin"/>
        </w:r>
        <w:r>
          <w:instrText xml:space="preserve"> PAGEREF _Toc256000023 \h </w:instrText>
        </w:r>
        <w:r>
          <w:fldChar w:fldCharType="separate"/>
        </w:r>
        <w:r>
          <w:t>9</w:t>
        </w:r>
        <w:r>
          <w:fldChar w:fldCharType="end"/>
        </w:r>
      </w:hyperlink>
    </w:p>
    <w:p>
      <w:pPr>
        <w:pStyle w:val="TOC3"/>
        <w:tabs>
          <w:tab w:val="right" w:leader="dot" w:pos="10358"/>
        </w:tabs>
        <w:rPr>
          <w:rFonts w:asciiTheme="minorHAnsi" w:hAnsiTheme="minorHAnsi"/>
          <w:noProof/>
          <w:sz w:val="22"/>
        </w:rPr>
      </w:pPr>
      <w:hyperlink w:anchor="_Toc256000024" w:history="1">
        <w:r w:rsidRPr="0051357C">
          <w:rPr>
            <w:rStyle w:val="Hyperlink"/>
            <w:rFonts w:eastAsia="Calibri"/>
            <w:lang w:val="fr" w:eastAsia="nl-NL" w:bidi="nl-NL"/>
          </w:rPr>
          <w:t>Dépenses et remboursements</w:t>
        </w:r>
        <w:r>
          <w:tab/>
        </w:r>
        <w:r>
          <w:fldChar w:fldCharType="begin"/>
        </w:r>
        <w:r>
          <w:instrText xml:space="preserve"> PAGEREF _Toc256000024 \h </w:instrText>
        </w:r>
        <w:r>
          <w:fldChar w:fldCharType="separate"/>
        </w:r>
        <w:r>
          <w:t>9</w:t>
        </w:r>
        <w:r>
          <w:fldChar w:fldCharType="end"/>
        </w:r>
      </w:hyperlink>
    </w:p>
    <w:p>
      <w:pPr>
        <w:pStyle w:val="TOC3"/>
        <w:tabs>
          <w:tab w:val="right" w:leader="dot" w:pos="10358"/>
        </w:tabs>
        <w:rPr>
          <w:rFonts w:asciiTheme="minorHAnsi" w:hAnsiTheme="minorHAnsi"/>
          <w:noProof/>
          <w:sz w:val="22"/>
        </w:rPr>
      </w:pPr>
      <w:hyperlink w:anchor="_Toc256000025" w:history="1">
        <w:r w:rsidRPr="0051357C">
          <w:rPr>
            <w:rStyle w:val="Hyperlink"/>
            <w:rFonts w:eastAsia="Calibri"/>
            <w:lang w:val="fr" w:eastAsia="nl-NL" w:bidi="nl-NL"/>
          </w:rPr>
          <w:t>Gestion des risques</w:t>
        </w:r>
        <w:r>
          <w:tab/>
        </w:r>
        <w:r>
          <w:fldChar w:fldCharType="begin"/>
        </w:r>
        <w:r>
          <w:instrText xml:space="preserve"> PAGEREF _Toc256000025 \h </w:instrText>
        </w:r>
        <w:r>
          <w:fldChar w:fldCharType="separate"/>
        </w:r>
        <w:r>
          <w:t>9</w:t>
        </w:r>
        <w:r>
          <w:fldChar w:fldCharType="end"/>
        </w:r>
      </w:hyperlink>
    </w:p>
    <w:p>
      <w:pPr>
        <w:pStyle w:val="TOC3"/>
        <w:tabs>
          <w:tab w:val="right" w:leader="dot" w:pos="10358"/>
        </w:tabs>
        <w:rPr>
          <w:rFonts w:asciiTheme="minorHAnsi" w:hAnsiTheme="minorHAnsi"/>
          <w:noProof/>
          <w:sz w:val="22"/>
        </w:rPr>
      </w:pPr>
      <w:hyperlink w:anchor="_Toc256000026" w:history="1">
        <w:r w:rsidRPr="0051357C">
          <w:rPr>
            <w:rStyle w:val="Hyperlink"/>
            <w:rFonts w:eastAsia="Calibri"/>
            <w:lang w:val="fr" w:eastAsia="nl-NL" w:bidi="nl-NL"/>
          </w:rPr>
          <w:t>Instructions d'embarquement</w:t>
        </w:r>
        <w:r>
          <w:tab/>
        </w:r>
        <w:r>
          <w:fldChar w:fldCharType="begin"/>
        </w:r>
        <w:r>
          <w:instrText xml:space="preserve"> PAGEREF _Toc256000026 \h </w:instrText>
        </w:r>
        <w:r>
          <w:fldChar w:fldCharType="separate"/>
        </w:r>
        <w:r>
          <w:t>10</w:t>
        </w:r>
        <w:r>
          <w:fldChar w:fldCharType="end"/>
        </w:r>
      </w:hyperlink>
    </w:p>
    <w:p>
      <w:pPr>
        <w:pStyle w:val="TOC3"/>
        <w:tabs>
          <w:tab w:val="right" w:leader="dot" w:pos="10358"/>
        </w:tabs>
        <w:rPr>
          <w:rFonts w:asciiTheme="minorHAnsi" w:hAnsiTheme="minorHAnsi"/>
          <w:noProof/>
          <w:sz w:val="22"/>
        </w:rPr>
      </w:pPr>
      <w:hyperlink w:anchor="_Toc256000027" w:history="1">
        <w:r w:rsidRPr="0051357C">
          <w:rPr>
            <w:rStyle w:val="Hyperlink"/>
            <w:rFonts w:eastAsia="Calibri"/>
            <w:lang w:val="fr" w:eastAsia="nl-NL" w:bidi="nl-NL"/>
          </w:rPr>
          <w:t>Délai de préavis</w:t>
        </w:r>
        <w:r>
          <w:tab/>
        </w:r>
        <w:r>
          <w:fldChar w:fldCharType="begin"/>
        </w:r>
        <w:r>
          <w:instrText xml:space="preserve"> PAGEREF _Toc256000027 \h </w:instrText>
        </w:r>
        <w:r>
          <w:fldChar w:fldCharType="separate"/>
        </w:r>
        <w:r>
          <w:t>10</w:t>
        </w:r>
        <w:r>
          <w:fldChar w:fldCharType="end"/>
        </w:r>
      </w:hyperlink>
    </w:p>
    <w:p>
      <w:pPr>
        <w:pStyle w:val="TOC3"/>
        <w:tabs>
          <w:tab w:val="right" w:leader="dot" w:pos="10358"/>
        </w:tabs>
        <w:rPr>
          <w:rFonts w:asciiTheme="minorHAnsi" w:hAnsiTheme="minorHAnsi"/>
          <w:noProof/>
          <w:sz w:val="22"/>
        </w:rPr>
      </w:pPr>
      <w:hyperlink w:anchor="_Toc256000028" w:history="1">
        <w:r w:rsidRPr="0051357C">
          <w:rPr>
            <w:rStyle w:val="Hyperlink"/>
            <w:rFonts w:eastAsia="Calibri"/>
            <w:lang w:val="fr" w:eastAsia="nl-NL" w:bidi="nl-NL"/>
          </w:rPr>
          <w:t>Transferts temporaires vers des postes permanents (temp2perm)</w:t>
        </w:r>
        <w:r>
          <w:tab/>
        </w:r>
        <w:r>
          <w:fldChar w:fldCharType="begin"/>
        </w:r>
        <w:r>
          <w:instrText xml:space="preserve"> PAGEREF _Toc256000028 \h </w:instrText>
        </w:r>
        <w:r>
          <w:fldChar w:fldCharType="separate"/>
        </w:r>
        <w:r>
          <w:t>10</w:t>
        </w:r>
        <w:r>
          <w:fldChar w:fldCharType="end"/>
        </w:r>
      </w:hyperlink>
    </w:p>
    <w:p>
      <w:pPr>
        <w:pStyle w:val="TOC1"/>
        <w:rPr>
          <w:rFonts w:asciiTheme="minorHAnsi" w:hAnsiTheme="minorHAnsi"/>
          <w:noProof/>
          <w:sz w:val="22"/>
        </w:rPr>
      </w:pPr>
      <w:hyperlink w:anchor="_Toc256000029" w:history="1">
        <w:r>
          <w:rPr>
            <w:rStyle w:val="Hyperlink"/>
            <w:rFonts w:cstheme="majorHAnsi"/>
          </w:rPr>
          <w:t>V.</w:t>
        </w:r>
        <w:r>
          <w:rPr>
            <w:rFonts w:asciiTheme="minorHAnsi" w:hAnsiTheme="minorHAnsi" w:cstheme="majorHAnsi"/>
            <w:noProof/>
            <w:sz w:val="22"/>
          </w:rPr>
          <w:tab/>
        </w:r>
        <w:r w:rsidRPr="00593902">
          <w:rPr>
            <w:rStyle w:val="Hyperlink"/>
            <w:rFonts w:cstheme="majorHAnsi"/>
            <w:lang w:val="fr"/>
          </w:rPr>
          <w:t>RÔLES ET RESPONSABILITÉS</w:t>
        </w:r>
        <w:r>
          <w:tab/>
        </w:r>
        <w:r>
          <w:fldChar w:fldCharType="begin"/>
        </w:r>
        <w:r>
          <w:instrText xml:space="preserve"> PAGEREF _Toc256000029 \h </w:instrText>
        </w:r>
        <w:r>
          <w:fldChar w:fldCharType="separate"/>
        </w:r>
        <w:r>
          <w:t>11</w:t>
        </w:r>
        <w:r>
          <w:fldChar w:fldCharType="end"/>
        </w:r>
      </w:hyperlink>
    </w:p>
    <w:p>
      <w:pPr>
        <w:pStyle w:val="TOC1"/>
        <w:rPr>
          <w:rFonts w:asciiTheme="minorHAnsi" w:hAnsiTheme="minorHAnsi"/>
          <w:noProof/>
          <w:sz w:val="22"/>
        </w:rPr>
      </w:pPr>
      <w:hyperlink w:anchor="_Toc256000030" w:history="1">
        <w:r>
          <w:rPr>
            <w:rStyle w:val="Hyperlink"/>
          </w:rPr>
          <w:t>VI.</w:t>
        </w:r>
        <w:r>
          <w:rPr>
            <w:rFonts w:asciiTheme="minorHAnsi" w:hAnsiTheme="minorHAnsi"/>
            <w:noProof/>
            <w:sz w:val="22"/>
          </w:rPr>
          <w:tab/>
        </w:r>
        <w:r w:rsidRPr="00B53FC1">
          <w:rPr>
            <w:rStyle w:val="Hyperlink"/>
            <w:lang w:val="fr"/>
          </w:rPr>
          <w:t>Lignes directrices pour l'adaptation au niveau local</w:t>
        </w:r>
        <w:r>
          <w:tab/>
        </w:r>
        <w:r>
          <w:fldChar w:fldCharType="begin"/>
        </w:r>
        <w:r>
          <w:instrText xml:space="preserve"> PAGEREF _Toc256000030 \h </w:instrText>
        </w:r>
        <w:r>
          <w:fldChar w:fldCharType="separate"/>
        </w:r>
        <w:r>
          <w:t>11</w:t>
        </w:r>
        <w:r>
          <w:fldChar w:fldCharType="end"/>
        </w:r>
      </w:hyperlink>
    </w:p>
    <w:p>
      <w:pPr>
        <w:pStyle w:val="TOC2"/>
        <w:tabs>
          <w:tab w:val="right" w:leader="dot" w:pos="10358"/>
        </w:tabs>
        <w:rPr>
          <w:rFonts w:asciiTheme="minorHAnsi" w:hAnsiTheme="minorHAnsi"/>
          <w:noProof/>
          <w:sz w:val="22"/>
        </w:rPr>
      </w:pPr>
      <w:hyperlink w:anchor="_Toc256000031" w:history="1">
        <w:r w:rsidRPr="002436BF">
          <w:rPr>
            <w:rStyle w:val="Hyperlink"/>
            <w:lang w:val="fr"/>
          </w:rPr>
          <w:t>Les étapes de l'adaptation</w:t>
        </w:r>
        <w:r>
          <w:tab/>
        </w:r>
        <w:r>
          <w:fldChar w:fldCharType="begin"/>
        </w:r>
        <w:r>
          <w:instrText xml:space="preserve"> PAGEREF _Toc256000031 \h </w:instrText>
        </w:r>
        <w:r>
          <w:fldChar w:fldCharType="separate"/>
        </w:r>
        <w:r>
          <w:t>12</w:t>
        </w:r>
        <w:r>
          <w:fldChar w:fldCharType="end"/>
        </w:r>
      </w:hyperlink>
    </w:p>
    <w:p>
      <w:pPr>
        <w:pStyle w:val="TOC3"/>
        <w:tabs>
          <w:tab w:val="right" w:leader="dot" w:pos="10358"/>
        </w:tabs>
        <w:rPr>
          <w:rFonts w:asciiTheme="minorHAnsi" w:hAnsiTheme="minorHAnsi"/>
          <w:noProof/>
          <w:sz w:val="22"/>
        </w:rPr>
      </w:pPr>
      <w:hyperlink w:anchor="_Toc256000032" w:history="1">
        <w:r w:rsidRPr="00E51450">
          <w:rPr>
            <w:rStyle w:val="Hyperlink"/>
            <w:rFonts w:ascii="Calibri" w:hAnsi="Calibri" w:cs="Calibri"/>
            <w:lang w:val="fr"/>
          </w:rPr>
          <w:t>1. Examen et évaluation</w:t>
        </w:r>
        <w:r>
          <w:tab/>
        </w:r>
        <w:r>
          <w:fldChar w:fldCharType="begin"/>
        </w:r>
        <w:r>
          <w:instrText xml:space="preserve"> PAGEREF _Toc256000032 \h </w:instrText>
        </w:r>
        <w:r>
          <w:fldChar w:fldCharType="separate"/>
        </w:r>
        <w:r>
          <w:t>12</w:t>
        </w:r>
        <w:r>
          <w:fldChar w:fldCharType="end"/>
        </w:r>
      </w:hyperlink>
    </w:p>
    <w:p>
      <w:pPr>
        <w:pStyle w:val="TOC3"/>
        <w:tabs>
          <w:tab w:val="right" w:leader="dot" w:pos="10358"/>
        </w:tabs>
        <w:rPr>
          <w:rFonts w:asciiTheme="minorHAnsi" w:hAnsiTheme="minorHAnsi"/>
          <w:noProof/>
          <w:sz w:val="22"/>
        </w:rPr>
      </w:pPr>
      <w:hyperlink w:anchor="_Toc256000033" w:history="1">
        <w:r w:rsidRPr="00E51450">
          <w:rPr>
            <w:rStyle w:val="Hyperlink"/>
            <w:lang w:val="fr"/>
          </w:rPr>
          <w:t>2. Contextualisation locale</w:t>
        </w:r>
        <w:r>
          <w:tab/>
        </w:r>
        <w:r>
          <w:fldChar w:fldCharType="begin"/>
        </w:r>
        <w:r>
          <w:instrText xml:space="preserve"> PAGEREF _Toc256000033 \h </w:instrText>
        </w:r>
        <w:r>
          <w:fldChar w:fldCharType="separate"/>
        </w:r>
        <w:r>
          <w:t>12</w:t>
        </w:r>
        <w:r>
          <w:fldChar w:fldCharType="end"/>
        </w:r>
      </w:hyperlink>
    </w:p>
    <w:p>
      <w:pPr>
        <w:pStyle w:val="TOC3"/>
        <w:tabs>
          <w:tab w:val="right" w:leader="dot" w:pos="10358"/>
        </w:tabs>
        <w:rPr>
          <w:rFonts w:asciiTheme="minorHAnsi" w:hAnsiTheme="minorHAnsi"/>
          <w:noProof/>
          <w:sz w:val="22"/>
        </w:rPr>
      </w:pPr>
      <w:hyperlink w:anchor="_Toc256000034" w:history="1">
        <w:r w:rsidRPr="00592AE0">
          <w:rPr>
            <w:rStyle w:val="Hyperlink"/>
            <w:lang w:val="fr"/>
          </w:rPr>
          <w:t>3. Processus d'approbation</w:t>
        </w:r>
        <w:r>
          <w:tab/>
        </w:r>
        <w:r>
          <w:fldChar w:fldCharType="begin"/>
        </w:r>
        <w:r>
          <w:instrText xml:space="preserve"> PAGEREF _Toc256000034 \h </w:instrText>
        </w:r>
        <w:r>
          <w:fldChar w:fldCharType="separate"/>
        </w:r>
        <w:r>
          <w:t>12</w:t>
        </w:r>
        <w:r>
          <w:fldChar w:fldCharType="end"/>
        </w:r>
      </w:hyperlink>
    </w:p>
    <w:p>
      <w:pPr>
        <w:pStyle w:val="TOC3"/>
        <w:tabs>
          <w:tab w:val="right" w:leader="dot" w:pos="10358"/>
        </w:tabs>
        <w:rPr>
          <w:rFonts w:asciiTheme="minorHAnsi" w:hAnsiTheme="minorHAnsi"/>
          <w:noProof/>
          <w:sz w:val="22"/>
        </w:rPr>
      </w:pPr>
      <w:hyperlink w:anchor="_Toc256000035" w:history="1">
        <w:r w:rsidRPr="006F465E">
          <w:rPr>
            <w:rStyle w:val="Hyperlink"/>
            <w:lang w:val="fr"/>
          </w:rPr>
          <w:t>4. Communication et formation</w:t>
        </w:r>
        <w:r>
          <w:tab/>
        </w:r>
        <w:r>
          <w:fldChar w:fldCharType="begin"/>
        </w:r>
        <w:r>
          <w:instrText xml:space="preserve"> PAGEREF _Toc256000035 \h </w:instrText>
        </w:r>
        <w:r>
          <w:fldChar w:fldCharType="separate"/>
        </w:r>
        <w:r>
          <w:t>13</w:t>
        </w:r>
        <w:r>
          <w:fldChar w:fldCharType="end"/>
        </w:r>
      </w:hyperlink>
    </w:p>
    <w:p>
      <w:pPr>
        <w:pStyle w:val="TOC3"/>
        <w:tabs>
          <w:tab w:val="right" w:leader="dot" w:pos="10358"/>
        </w:tabs>
        <w:rPr>
          <w:rFonts w:asciiTheme="minorHAnsi" w:hAnsiTheme="minorHAnsi"/>
          <w:noProof/>
          <w:sz w:val="22"/>
        </w:rPr>
      </w:pPr>
      <w:hyperlink w:anchor="_Toc256000036" w:history="1">
        <w:r w:rsidRPr="009A2E29">
          <w:rPr>
            <w:rStyle w:val="Hyperlink"/>
            <w:lang w:val="fr"/>
          </w:rPr>
          <w:t>5. Suivi et rapports</w:t>
        </w:r>
        <w:r>
          <w:tab/>
        </w:r>
        <w:r>
          <w:fldChar w:fldCharType="begin"/>
        </w:r>
        <w:r>
          <w:instrText xml:space="preserve"> PAGEREF _Toc256000036 \h </w:instrText>
        </w:r>
        <w:r>
          <w:fldChar w:fldCharType="separate"/>
        </w:r>
        <w:r>
          <w:t>13</w:t>
        </w:r>
        <w:r>
          <w:fldChar w:fldCharType="end"/>
        </w:r>
      </w:hyperlink>
    </w:p>
    <w:p w:rsidR="007061CA" w:rsidRPr="00D20217" w:rsidP="004F2E81">
      <w:pPr>
        <w:rPr>
          <w:rFonts w:asciiTheme="majorHAnsi" w:hAnsiTheme="majorHAnsi" w:cstheme="majorHAnsi"/>
          <w:sz w:val="22"/>
          <w:szCs w:val="22"/>
        </w:rPr>
      </w:pPr>
      <w:r w:rsidRPr="00D20217">
        <w:rPr>
          <w:rFonts w:asciiTheme="majorHAnsi" w:hAnsiTheme="majorHAnsi" w:cstheme="majorHAnsi"/>
          <w:sz w:val="22"/>
          <w:szCs w:val="22"/>
        </w:rPr>
        <w:fldChar w:fldCharType="end"/>
      </w:r>
    </w:p>
    <w:p w:rsidR="004208EF" w:rsidRPr="00D20217" w:rsidP="004F2E81" w14:paraId="3DB078F5" w14:textId="77777777">
      <w:pPr>
        <w:rPr>
          <w:rFonts w:asciiTheme="majorHAnsi" w:hAnsiTheme="majorHAnsi" w:cstheme="majorHAnsi"/>
          <w:sz w:val="22"/>
          <w:szCs w:val="22"/>
        </w:rPr>
      </w:pPr>
    </w:p>
    <w:p w:rsidR="004208EF" w:rsidP="004F2E81" w14:paraId="599E4946" w14:textId="77777777">
      <w:pPr>
        <w:rPr>
          <w:rFonts w:asciiTheme="majorHAnsi" w:hAnsiTheme="majorHAnsi" w:cstheme="majorHAnsi"/>
          <w:sz w:val="22"/>
          <w:szCs w:val="22"/>
        </w:rPr>
      </w:pPr>
    </w:p>
    <w:p w:rsidR="009B6399" w:rsidP="004F2E81" w14:paraId="7073FCE0" w14:textId="77777777">
      <w:pPr>
        <w:rPr>
          <w:rFonts w:asciiTheme="majorHAnsi" w:hAnsiTheme="majorHAnsi" w:cstheme="majorHAnsi"/>
          <w:sz w:val="22"/>
          <w:szCs w:val="22"/>
        </w:rPr>
      </w:pPr>
    </w:p>
    <w:p w:rsidR="009B6399" w:rsidP="004F2E81" w14:paraId="5FE81C71" w14:textId="77777777">
      <w:pPr>
        <w:rPr>
          <w:rFonts w:asciiTheme="majorHAnsi" w:hAnsiTheme="majorHAnsi" w:cstheme="majorHAnsi"/>
          <w:sz w:val="22"/>
          <w:szCs w:val="22"/>
        </w:rPr>
      </w:pPr>
    </w:p>
    <w:p w:rsidR="009B6399" w:rsidP="004F2E81" w14:paraId="58EC99D7" w14:textId="77777777">
      <w:pPr>
        <w:rPr>
          <w:rFonts w:asciiTheme="majorHAnsi" w:hAnsiTheme="majorHAnsi" w:cstheme="majorHAnsi"/>
          <w:sz w:val="22"/>
          <w:szCs w:val="22"/>
        </w:rPr>
      </w:pPr>
    </w:p>
    <w:p w:rsidR="009B6399" w:rsidP="004F2E81" w14:paraId="6DA1268C" w14:textId="77777777">
      <w:pPr>
        <w:rPr>
          <w:rFonts w:asciiTheme="majorHAnsi" w:hAnsiTheme="majorHAnsi" w:cstheme="majorHAnsi"/>
          <w:sz w:val="22"/>
          <w:szCs w:val="22"/>
        </w:rPr>
      </w:pPr>
    </w:p>
    <w:p w:rsidR="00926647" w14:paraId="712B1E63" w14:textId="00D3D731">
      <w:pPr>
        <w:rPr>
          <w:rFonts w:asciiTheme="majorHAnsi" w:hAnsiTheme="majorHAnsi" w:cstheme="majorHAnsi"/>
          <w:sz w:val="22"/>
          <w:szCs w:val="22"/>
        </w:rPr>
      </w:pPr>
      <w:r>
        <w:rPr>
          <w:rFonts w:asciiTheme="majorHAnsi" w:hAnsiTheme="majorHAnsi" w:cstheme="majorHAnsi"/>
          <w:sz w:val="22"/>
          <w:szCs w:val="22"/>
        </w:rPr>
        <w:br w:type="page"/>
      </w:r>
    </w:p>
    <w:p w:rsidR="006B02F5" w:rsidRPr="0051357C" w:rsidP="00337B8A" w14:paraId="5E6E7328" w14:textId="083E29BC">
      <w:pPr>
        <w:pStyle w:val="Heading1"/>
        <w:bidi w:val="0"/>
        <w:spacing w:after="240"/>
        <w:ind w:left="90" w:hanging="90"/>
        <w:rPr>
          <w:rFonts w:cstheme="majorHAnsi"/>
          <w:color w:val="auto"/>
        </w:rPr>
      </w:pPr>
      <w:bookmarkStart w:id="0" w:name="_Toc256000000"/>
      <w:r w:rsidRPr="0051357C">
        <w:rPr>
          <w:rFonts w:cstheme="majorHAnsi"/>
          <w:color w:val="auto"/>
          <w:rtl w:val="0"/>
          <w:lang w:val="fr"/>
        </w:rPr>
        <w:t>OBJECTIF</w:t>
      </w:r>
      <w:bookmarkEnd w:id="0"/>
    </w:p>
    <w:p w:rsidR="0015669C" w:rsidP="0015669C" w14:paraId="3F1D2548" w14:textId="07E8E0C7">
      <w:pPr>
        <w:bidi w:val="0"/>
        <w:jc w:val="both"/>
        <w:rPr>
          <w:rFonts w:asciiTheme="majorHAnsi" w:hAnsiTheme="majorHAnsi" w:cstheme="majorHAnsi"/>
          <w:sz w:val="22"/>
          <w:szCs w:val="22"/>
        </w:rPr>
      </w:pPr>
      <w:r w:rsidRPr="000104AC">
        <w:rPr>
          <w:rFonts w:asciiTheme="majorHAnsi" w:hAnsiTheme="majorHAnsi" w:cstheme="majorHAnsi"/>
          <w:sz w:val="22"/>
          <w:szCs w:val="22"/>
          <w:rtl w:val="0"/>
          <w:lang w:val="fr"/>
        </w:rPr>
        <w:t>Dans le cadre de notre initiative visant à mieux gérer et contrôler les dépenses liées à notre personnel externe, nous introduisons cette politique afin d'optimiser l'approvisionnement de ces services. Notre objectif n'est pas seulement de réduire les coûts, mais aussi d'accroître l'efficacité opérationnelle et de créer une plus grande valeur globale pour l'entreprise, en renforçant et en normalisant nos processus à l'échelle mondiale. Le non-respect de cette obligation peut entraîner l'annulation immédiate de la demande ou la renégociation de l'accord, dans la mesure où la législation applicable le permet.</w:t>
      </w:r>
    </w:p>
    <w:p w:rsidR="000104AC" w:rsidRPr="00FE762E" w:rsidP="0051357C" w14:paraId="51C1218A" w14:textId="77777777">
      <w:pPr>
        <w:jc w:val="both"/>
        <w:rPr>
          <w:rFonts w:asciiTheme="majorHAnsi" w:hAnsiTheme="majorHAnsi" w:cstheme="majorHAnsi"/>
          <w:sz w:val="22"/>
          <w:szCs w:val="22"/>
        </w:rPr>
      </w:pPr>
    </w:p>
    <w:p w:rsidR="0015669C" w:rsidP="0051357C" w14:paraId="33D11DFA" w14:textId="51E9E7DC">
      <w:pPr>
        <w:bidi w:val="0"/>
        <w:jc w:val="both"/>
        <w:rPr>
          <w:rFonts w:asciiTheme="majorHAnsi" w:hAnsiTheme="majorHAnsi" w:cstheme="majorHAnsi"/>
          <w:sz w:val="22"/>
          <w:szCs w:val="22"/>
        </w:rPr>
      </w:pPr>
      <w:r w:rsidRPr="00FE762E">
        <w:rPr>
          <w:rFonts w:asciiTheme="majorHAnsi" w:hAnsiTheme="majorHAnsi" w:cstheme="majorHAnsi"/>
          <w:sz w:val="22"/>
          <w:szCs w:val="22"/>
          <w:rtl w:val="0"/>
          <w:lang w:val="fr"/>
        </w:rPr>
        <w:t xml:space="preserve">Ce document fournit un cadre complet pour la gestion des engagements de main-d'œuvre externe dans toutes les entités juridiques de Brink's. Il comprend des lignes directrices essentielles, telles que l'utilisation de listes de fournisseurs privilégiés et de règles d'affectation, tout en garantissant une distinction claire entre la main-d'œuvre occasionnelle (travail temporaire et sous-traitants) et les embauches basées sur les résultats. </w:t>
      </w:r>
    </w:p>
    <w:p w:rsidR="00523910" w:rsidP="00AD5774" w14:paraId="3DEFC09B" w14:textId="77777777">
      <w:pPr>
        <w:jc w:val="both"/>
        <w:rPr>
          <w:rFonts w:asciiTheme="majorHAnsi" w:hAnsiTheme="majorHAnsi" w:cstheme="majorHAnsi"/>
          <w:sz w:val="22"/>
          <w:szCs w:val="22"/>
        </w:rPr>
      </w:pPr>
    </w:p>
    <w:p w:rsidR="00523910" w:rsidRPr="0051357C" w:rsidP="00523910" w14:paraId="126180BB" w14:textId="0FFF2AB2">
      <w:pPr>
        <w:pStyle w:val="Heading1"/>
        <w:bidi w:val="0"/>
        <w:spacing w:before="240" w:after="240"/>
        <w:rPr>
          <w:rFonts w:cstheme="majorHAnsi"/>
          <w:color w:val="auto"/>
        </w:rPr>
      </w:pPr>
      <w:bookmarkStart w:id="1" w:name="_Toc256000001"/>
      <w:r w:rsidRPr="0051357C">
        <w:rPr>
          <w:rFonts w:cstheme="majorHAnsi"/>
          <w:color w:val="auto"/>
          <w:rtl w:val="0"/>
          <w:lang w:val="fr"/>
        </w:rPr>
        <w:t>DÉFINITIONS</w:t>
      </w:r>
      <w:bookmarkEnd w:id="1"/>
    </w:p>
    <w:p w:rsidR="00EA4CA7" w:rsidP="00D20217" w14:paraId="7F3AAFCF" w14:textId="1182B6AE">
      <w:pPr>
        <w:pStyle w:val="ListParagraph"/>
        <w:numPr>
          <w:ilvl w:val="0"/>
          <w:numId w:val="6"/>
        </w:numPr>
        <w:bidi w:val="0"/>
        <w:jc w:val="both"/>
        <w:rPr>
          <w:rFonts w:asciiTheme="majorHAnsi" w:hAnsiTheme="majorHAnsi" w:cstheme="majorHAnsi"/>
          <w:sz w:val="22"/>
          <w:szCs w:val="22"/>
        </w:rPr>
      </w:pPr>
      <w:r w:rsidRPr="00DE4C10">
        <w:rPr>
          <w:rFonts w:asciiTheme="majorHAnsi" w:hAnsiTheme="majorHAnsi" w:cstheme="majorHAnsi"/>
          <w:b/>
          <w:bCs/>
          <w:sz w:val="22"/>
          <w:szCs w:val="22"/>
          <w:u w:val="single"/>
          <w:rtl w:val="0"/>
          <w:lang w:val="fr"/>
        </w:rPr>
        <w:t>Co-emploi</w:t>
      </w:r>
      <w:r w:rsidRPr="00EA4CA7">
        <w:rPr>
          <w:rFonts w:asciiTheme="majorHAnsi" w:hAnsiTheme="majorHAnsi" w:cstheme="majorHAnsi"/>
          <w:sz w:val="22"/>
          <w:szCs w:val="22"/>
          <w:rtl w:val="0"/>
          <w:lang w:val="fr"/>
        </w:rPr>
        <w:t xml:space="preserve"> : Terme juridique selon lequel Brink's et l'agence de recrutement peuvent être considérés comme les employeurs d'un travailleur occasionnel en raison de l'implication de Brink's dans la supervision, la révision des salaires ou la gestion des performances. Cette situation peut donner lieu à des réclamations juridiques concernant les avantages et les droits des employés.</w:t>
      </w:r>
    </w:p>
    <w:p w:rsidR="00E53EEE" w:rsidRPr="00EA4CA7" w:rsidP="00D20217" w14:paraId="14E33134" w14:textId="4C58ABC9">
      <w:pPr>
        <w:pStyle w:val="ListParagraph"/>
        <w:numPr>
          <w:ilvl w:val="0"/>
          <w:numId w:val="6"/>
        </w:numPr>
        <w:bidi w:val="0"/>
        <w:jc w:val="both"/>
        <w:rPr>
          <w:rFonts w:asciiTheme="majorHAnsi" w:hAnsiTheme="majorHAnsi" w:cstheme="majorHAnsi"/>
          <w:sz w:val="22"/>
          <w:szCs w:val="22"/>
        </w:rPr>
      </w:pPr>
      <w:r w:rsidRPr="00A96CF2">
        <w:rPr>
          <w:rFonts w:asciiTheme="majorHAnsi" w:hAnsiTheme="majorHAnsi" w:cstheme="majorHAnsi"/>
          <w:sz w:val="22"/>
          <w:szCs w:val="22"/>
          <w:rtl w:val="0"/>
          <w:lang w:val="fr"/>
        </w:rPr>
        <w:t>Main-d'œuvre</w:t>
      </w:r>
      <w:r>
        <w:rPr>
          <w:rFonts w:asciiTheme="majorHAnsi" w:hAnsiTheme="majorHAnsi" w:cstheme="majorHAnsi"/>
          <w:b/>
          <w:bCs/>
          <w:sz w:val="22"/>
          <w:szCs w:val="22"/>
          <w:u w:val="single"/>
          <w:rtl w:val="0"/>
          <w:lang w:val="fr"/>
        </w:rPr>
        <w:t xml:space="preserve"> </w:t>
      </w:r>
      <w:r w:rsidRPr="00A96CF2">
        <w:rPr>
          <w:rFonts w:asciiTheme="majorHAnsi" w:hAnsiTheme="majorHAnsi" w:cstheme="majorHAnsi"/>
          <w:sz w:val="22"/>
          <w:szCs w:val="22"/>
          <w:rtl w:val="0"/>
          <w:lang w:val="fr"/>
        </w:rPr>
        <w:t xml:space="preserve">temporaire : Il s'agit d'un groupe de travailleurs non permanents employés de manière flexible et en fonction des besoins de l'entreprise. Ces travailleurs comprennent la main-d'œuvre temporaire fournie par les sociétés de recrutement, les entrepreneurs indépendants, les freelances et d'autres travailleurs à court terme ou engagés pour un projet dans le cadre d'accords ou de contrats, également communément appelés travailleurs occasionnels. Ces travailleurs travaillent généralement pour une durée déterminée ou dans le cadre d'un cahier des charges spécifique et sont rémunérés en fonction de leur temps de travail, par exemple sur la base d'un tarif horaire ou journalier. </w:t>
      </w:r>
    </w:p>
    <w:p w:rsidR="00EA4CA7" w:rsidP="00D20217" w14:paraId="09778A9E" w14:textId="33001EAD">
      <w:pPr>
        <w:pStyle w:val="ListParagraph"/>
        <w:numPr>
          <w:ilvl w:val="0"/>
          <w:numId w:val="6"/>
        </w:numPr>
        <w:bidi w:val="0"/>
        <w:jc w:val="both"/>
        <w:rPr>
          <w:rFonts w:asciiTheme="majorHAnsi" w:hAnsiTheme="majorHAnsi" w:cstheme="majorHAnsi"/>
          <w:sz w:val="22"/>
          <w:szCs w:val="22"/>
        </w:rPr>
      </w:pPr>
      <w:r w:rsidRPr="00EA4CA7">
        <w:rPr>
          <w:rFonts w:asciiTheme="majorHAnsi" w:hAnsiTheme="majorHAnsi" w:cstheme="majorHAnsi"/>
          <w:sz w:val="22"/>
          <w:szCs w:val="22"/>
          <w:rtl w:val="0"/>
          <w:lang w:val="fr"/>
        </w:rPr>
        <w:t>Travailleur</w:t>
      </w:r>
      <w:r w:rsidRPr="00DE4C10">
        <w:rPr>
          <w:rFonts w:asciiTheme="majorHAnsi" w:hAnsiTheme="majorHAnsi" w:cstheme="majorHAnsi"/>
          <w:b/>
          <w:bCs/>
          <w:sz w:val="22"/>
          <w:szCs w:val="22"/>
          <w:u w:val="single"/>
          <w:rtl w:val="0"/>
          <w:lang w:val="fr"/>
        </w:rPr>
        <w:t xml:space="preserve"> </w:t>
      </w:r>
      <w:r w:rsidRPr="00EA4CA7">
        <w:rPr>
          <w:rFonts w:asciiTheme="majorHAnsi" w:hAnsiTheme="majorHAnsi" w:cstheme="majorHAnsi"/>
          <w:sz w:val="22"/>
          <w:szCs w:val="22"/>
          <w:rtl w:val="0"/>
          <w:lang w:val="fr"/>
        </w:rPr>
        <w:t>occasionnel : Il s'agit d'un travailleur non permanent, généralement engagé par une société de recrutement pour une durée déterminée. Les travailleurs intérimaires sont payés au temps et au matériel (par exemple, à l'heure ou à la journée).</w:t>
      </w:r>
    </w:p>
    <w:p w:rsidR="00A571B1" w:rsidRPr="00EA4CA7" w:rsidP="00D20217" w14:paraId="332E6E35" w14:textId="0AA3431C">
      <w:pPr>
        <w:pStyle w:val="ListParagraph"/>
        <w:numPr>
          <w:ilvl w:val="0"/>
          <w:numId w:val="6"/>
        </w:numPr>
        <w:bidi w:val="0"/>
        <w:jc w:val="both"/>
        <w:rPr>
          <w:rFonts w:asciiTheme="majorHAnsi" w:hAnsiTheme="majorHAnsi" w:cstheme="majorHAnsi"/>
          <w:sz w:val="22"/>
          <w:szCs w:val="22"/>
        </w:rPr>
      </w:pPr>
      <w:r>
        <w:rPr>
          <w:rFonts w:asciiTheme="majorHAnsi" w:hAnsiTheme="majorHAnsi" w:cstheme="majorHAnsi"/>
          <w:sz w:val="22"/>
          <w:szCs w:val="22"/>
          <w:rtl w:val="0"/>
          <w:lang w:val="fr"/>
        </w:rPr>
        <w:t>Travailleur</w:t>
      </w:r>
      <w:r w:rsidRPr="00B974F6">
        <w:rPr>
          <w:rFonts w:asciiTheme="majorHAnsi" w:hAnsiTheme="majorHAnsi" w:cstheme="majorHAnsi"/>
          <w:b/>
          <w:bCs/>
          <w:sz w:val="22"/>
          <w:szCs w:val="22"/>
          <w:u w:val="single"/>
          <w:rtl w:val="0"/>
          <w:lang w:val="fr"/>
        </w:rPr>
        <w:t xml:space="preserve"> </w:t>
      </w:r>
      <w:r>
        <w:rPr>
          <w:rFonts w:asciiTheme="majorHAnsi" w:hAnsiTheme="majorHAnsi" w:cstheme="majorHAnsi"/>
          <w:sz w:val="22"/>
          <w:szCs w:val="22"/>
          <w:rtl w:val="0"/>
          <w:lang w:val="fr"/>
        </w:rPr>
        <w:t>du savoir : Une personne dont le travail principal consiste à manipuler ou à travailler avec des informations, du capital intellectuel et des connaissances spécialisées plutôt qu'à effectuer un travail manuel.</w:t>
      </w:r>
    </w:p>
    <w:p w:rsidR="00EA4CA7" w:rsidRPr="00EA4CA7" w:rsidP="00D20217" w14:paraId="4A0D90F6" w14:textId="52B61BFE">
      <w:pPr>
        <w:pStyle w:val="ListParagraph"/>
        <w:numPr>
          <w:ilvl w:val="0"/>
          <w:numId w:val="6"/>
        </w:numPr>
        <w:bidi w:val="0"/>
        <w:jc w:val="both"/>
        <w:rPr>
          <w:rFonts w:asciiTheme="majorHAnsi" w:hAnsiTheme="majorHAnsi" w:cstheme="majorHAnsi"/>
          <w:sz w:val="22"/>
          <w:szCs w:val="22"/>
        </w:rPr>
      </w:pPr>
      <w:r w:rsidRPr="00DE4C10">
        <w:rPr>
          <w:rFonts w:asciiTheme="majorHAnsi" w:hAnsiTheme="majorHAnsi" w:cstheme="majorHAnsi"/>
          <w:b/>
          <w:bCs/>
          <w:sz w:val="22"/>
          <w:szCs w:val="22"/>
          <w:u w:val="single"/>
          <w:rtl w:val="0"/>
          <w:lang w:val="fr"/>
        </w:rPr>
        <w:t>Master Service Agreement (MSA</w:t>
      </w:r>
      <w:r w:rsidRPr="00EA4CA7">
        <w:rPr>
          <w:rFonts w:asciiTheme="majorHAnsi" w:hAnsiTheme="majorHAnsi" w:cstheme="majorHAnsi"/>
          <w:sz w:val="22"/>
          <w:szCs w:val="22"/>
          <w:rtl w:val="0"/>
          <w:lang w:val="fr"/>
        </w:rPr>
        <w:t>) : Un contrat entre Brink's et un fournisseur décrivant les conditions générales des transactions ou accords futurs, y compris des conditions telles que le paiement, la confidentialité et la résolution des litiges.</w:t>
      </w:r>
    </w:p>
    <w:p w:rsidR="00575F28" w:rsidRPr="00A571B1" w:rsidP="00D20217" w14:paraId="78BD1BDB" w14:textId="2C913697">
      <w:pPr>
        <w:pStyle w:val="ListParagraph"/>
        <w:numPr>
          <w:ilvl w:val="0"/>
          <w:numId w:val="6"/>
        </w:numPr>
        <w:bidi w:val="0"/>
        <w:jc w:val="both"/>
        <w:rPr>
          <w:rFonts w:asciiTheme="majorHAnsi" w:hAnsiTheme="majorHAnsi" w:cstheme="majorHAnsi"/>
          <w:sz w:val="22"/>
          <w:szCs w:val="22"/>
        </w:rPr>
      </w:pPr>
      <w:r w:rsidRPr="00EA4CA7">
        <w:rPr>
          <w:rFonts w:asciiTheme="majorHAnsi" w:hAnsiTheme="majorHAnsi" w:cstheme="majorHAnsi"/>
          <w:sz w:val="22"/>
          <w:szCs w:val="22"/>
          <w:rtl w:val="0"/>
          <w:lang w:val="fr"/>
        </w:rPr>
        <w:t>Engagement</w:t>
      </w:r>
      <w:r w:rsidRPr="008C3228">
        <w:rPr>
          <w:rFonts w:asciiTheme="majorHAnsi" w:hAnsiTheme="majorHAnsi" w:cstheme="majorHAnsi"/>
          <w:b/>
          <w:bCs/>
          <w:sz w:val="22"/>
          <w:szCs w:val="22"/>
          <w:u w:val="single"/>
          <w:rtl w:val="0"/>
          <w:lang w:val="fr"/>
        </w:rPr>
        <w:t xml:space="preserve"> </w:t>
      </w:r>
      <w:r w:rsidRPr="00EA4CA7">
        <w:rPr>
          <w:rFonts w:asciiTheme="majorHAnsi" w:hAnsiTheme="majorHAnsi" w:cstheme="majorHAnsi"/>
          <w:sz w:val="22"/>
          <w:szCs w:val="22"/>
          <w:rtl w:val="0"/>
          <w:lang w:val="fr"/>
        </w:rPr>
        <w:t>basé sur les résultats : Les missions dans lesquelles les consultants ou les entreprises sont engagés pour fournir un produit ou un résultat spécifique, la rémunération étant basée sur les produits livrés plutôt que sur le temps de travail. Ces missions sont basées sur des projets et se concentrent sur des conseils stratégiques ou des services spécialisés.</w:t>
      </w:r>
    </w:p>
    <w:p w:rsidR="00EA4CA7" w:rsidP="00D20217" w14:paraId="74E57231" w14:textId="41701192">
      <w:pPr>
        <w:pStyle w:val="ListParagraph"/>
        <w:numPr>
          <w:ilvl w:val="0"/>
          <w:numId w:val="6"/>
        </w:numPr>
        <w:bidi w:val="0"/>
        <w:jc w:val="both"/>
        <w:rPr>
          <w:rFonts w:asciiTheme="majorHAnsi" w:hAnsiTheme="majorHAnsi" w:cstheme="majorHAnsi"/>
          <w:sz w:val="22"/>
          <w:szCs w:val="22"/>
        </w:rPr>
      </w:pPr>
      <w:r w:rsidRPr="00EA4CA7">
        <w:rPr>
          <w:rFonts w:asciiTheme="majorHAnsi" w:hAnsiTheme="majorHAnsi" w:cstheme="majorHAnsi"/>
          <w:sz w:val="22"/>
          <w:szCs w:val="22"/>
          <w:rtl w:val="0"/>
          <w:lang w:val="fr"/>
        </w:rPr>
        <w:t>Liste de</w:t>
      </w:r>
      <w:r w:rsidRPr="00C6774A">
        <w:rPr>
          <w:rFonts w:asciiTheme="majorHAnsi" w:hAnsiTheme="majorHAnsi" w:cstheme="majorHAnsi"/>
          <w:b/>
          <w:bCs/>
          <w:sz w:val="22"/>
          <w:szCs w:val="22"/>
          <w:u w:val="single"/>
          <w:rtl w:val="0"/>
          <w:lang w:val="fr"/>
        </w:rPr>
        <w:t xml:space="preserve"> fournisseurs </w:t>
      </w:r>
      <w:r w:rsidRPr="00EA4CA7">
        <w:rPr>
          <w:rFonts w:asciiTheme="majorHAnsi" w:hAnsiTheme="majorHAnsi" w:cstheme="majorHAnsi"/>
          <w:sz w:val="22"/>
          <w:szCs w:val="22"/>
          <w:rtl w:val="0"/>
          <w:lang w:val="fr"/>
        </w:rPr>
        <w:t>privilégiés : Une liste pré-approuvée de fournisseurs ayant des contrats mondiaux ou régionaux existants offrant des prix compétitifs et des structures de réduction. Ces fournisseurs sont les prestataires exclusifs de services de personnel externe, sauf dans les cas décrits dans la présente politique.</w:t>
      </w:r>
    </w:p>
    <w:p w:rsidR="0087459C" w:rsidRPr="00EA4CA7" w:rsidP="00D20217" w14:paraId="449F05BE" w14:textId="50A46D5A">
      <w:pPr>
        <w:pStyle w:val="ListParagraph"/>
        <w:numPr>
          <w:ilvl w:val="0"/>
          <w:numId w:val="6"/>
        </w:numPr>
        <w:bidi w:val="0"/>
        <w:jc w:val="both"/>
        <w:rPr>
          <w:rFonts w:asciiTheme="majorHAnsi" w:hAnsiTheme="majorHAnsi" w:cstheme="majorHAnsi"/>
          <w:sz w:val="22"/>
          <w:szCs w:val="22"/>
        </w:rPr>
      </w:pPr>
      <w:r w:rsidRPr="0087459C">
        <w:rPr>
          <w:rFonts w:asciiTheme="majorHAnsi" w:hAnsiTheme="majorHAnsi" w:cstheme="majorHAnsi"/>
          <w:b/>
          <w:bCs/>
          <w:sz w:val="22"/>
          <w:szCs w:val="22"/>
          <w:u w:val="single"/>
          <w:rtl w:val="0"/>
          <w:lang w:val="fr"/>
        </w:rPr>
        <w:t>L'appel</w:t>
      </w:r>
      <w:r w:rsidRPr="0087459C">
        <w:rPr>
          <w:rFonts w:asciiTheme="majorHAnsi" w:hAnsiTheme="majorHAnsi" w:cstheme="majorHAnsi"/>
          <w:sz w:val="22"/>
          <w:szCs w:val="22"/>
          <w:rtl w:val="0"/>
          <w:lang w:val="fr"/>
        </w:rPr>
        <w:t xml:space="preserve"> d'offres est un terme général utilisé pour désigner divers processus d'approvisionnement stratégique "Request For" que les organisations utilisent pour solliciter des informations, des propositions ou des devis de la part de fournisseurs ou de vendeurs. </w:t>
      </w:r>
    </w:p>
    <w:p w:rsidR="00EA4CA7" w:rsidRPr="00EA4CA7" w:rsidP="00D20217" w14:paraId="215AB019" w14:textId="24805EF3">
      <w:pPr>
        <w:pStyle w:val="ListParagraph"/>
        <w:numPr>
          <w:ilvl w:val="0"/>
          <w:numId w:val="6"/>
        </w:numPr>
        <w:bidi w:val="0"/>
        <w:jc w:val="both"/>
        <w:rPr>
          <w:rFonts w:asciiTheme="majorHAnsi" w:hAnsiTheme="majorHAnsi" w:cstheme="majorHAnsi"/>
          <w:sz w:val="22"/>
          <w:szCs w:val="22"/>
        </w:rPr>
      </w:pPr>
      <w:r w:rsidRPr="00C6774A">
        <w:rPr>
          <w:rFonts w:asciiTheme="majorHAnsi" w:hAnsiTheme="majorHAnsi" w:cstheme="majorHAnsi"/>
          <w:b/>
          <w:bCs/>
          <w:sz w:val="22"/>
          <w:szCs w:val="22"/>
          <w:u w:val="single"/>
          <w:rtl w:val="0"/>
          <w:lang w:val="fr"/>
        </w:rPr>
        <w:t>Déclaration de travail (SOW</w:t>
      </w:r>
      <w:r w:rsidRPr="00EA4CA7">
        <w:rPr>
          <w:rFonts w:asciiTheme="majorHAnsi" w:hAnsiTheme="majorHAnsi" w:cstheme="majorHAnsi"/>
          <w:sz w:val="22"/>
          <w:szCs w:val="22"/>
          <w:rtl w:val="0"/>
          <w:lang w:val="fr"/>
        </w:rPr>
        <w:t>) : Il s'agit d'un accord auxiliaire de l'accord de services de gestion qui détaille les services spécifiques, les produits livrables, les délais et les prix pour un projet ou un engagement donné.</w:t>
      </w:r>
    </w:p>
    <w:p w:rsidR="00EA4CA7" w:rsidP="00D20217" w14:paraId="2F2270F2" w14:textId="4799027F">
      <w:pPr>
        <w:pStyle w:val="ListParagraph"/>
        <w:numPr>
          <w:ilvl w:val="0"/>
          <w:numId w:val="6"/>
        </w:numPr>
        <w:bidi w:val="0"/>
        <w:jc w:val="both"/>
        <w:rPr>
          <w:rFonts w:asciiTheme="majorHAnsi" w:hAnsiTheme="majorHAnsi" w:cstheme="majorHAnsi"/>
          <w:sz w:val="22"/>
          <w:szCs w:val="22"/>
        </w:rPr>
      </w:pPr>
      <w:r w:rsidRPr="00C6774A">
        <w:rPr>
          <w:rFonts w:asciiTheme="majorHAnsi" w:hAnsiTheme="majorHAnsi" w:cstheme="majorHAnsi"/>
          <w:b/>
          <w:bCs/>
          <w:sz w:val="22"/>
          <w:szCs w:val="22"/>
          <w:u w:val="single"/>
          <w:rtl w:val="0"/>
          <w:lang w:val="fr"/>
        </w:rPr>
        <w:t>Fournisseur</w:t>
      </w:r>
      <w:r w:rsidRPr="00EA4CA7">
        <w:rPr>
          <w:rFonts w:asciiTheme="majorHAnsi" w:hAnsiTheme="majorHAnsi" w:cstheme="majorHAnsi"/>
          <w:sz w:val="22"/>
          <w:szCs w:val="22"/>
          <w:rtl w:val="0"/>
          <w:lang w:val="fr"/>
        </w:rPr>
        <w:t xml:space="preserve"> : Une entité tierce engagée pour fournir des biens ou des services à Brink's, comme les sociétés de recrutement ou les prestataires de services pour la main-d'œuvre occasionnelle ou les services basés sur des projets.</w:t>
      </w:r>
    </w:p>
    <w:p w:rsidR="004E78F9" w:rsidRPr="004E78F9" w:rsidP="3F806670" w14:paraId="59172601" w14:textId="4C67D6EF">
      <w:pPr>
        <w:pStyle w:val="ListParagraph"/>
        <w:numPr>
          <w:ilvl w:val="0"/>
          <w:numId w:val="6"/>
        </w:numPr>
        <w:bidi w:val="0"/>
        <w:jc w:val="both"/>
        <w:rPr>
          <w:rFonts w:asciiTheme="majorHAnsi" w:hAnsiTheme="majorHAnsi" w:cstheme="majorBidi"/>
          <w:sz w:val="22"/>
          <w:szCs w:val="22"/>
        </w:rPr>
      </w:pPr>
      <w:r w:rsidRPr="3F806670">
        <w:rPr>
          <w:rFonts w:asciiTheme="majorHAnsi" w:hAnsiTheme="majorHAnsi" w:cstheme="majorBidi"/>
          <w:sz w:val="22"/>
          <w:szCs w:val="22"/>
          <w:rtl w:val="0"/>
          <w:lang w:val="fr"/>
        </w:rPr>
        <w:t>La location</w:t>
      </w:r>
      <w:r w:rsidRPr="3F806670">
        <w:rPr>
          <w:rFonts w:asciiTheme="majorHAnsi" w:hAnsiTheme="majorHAnsi" w:cstheme="majorBidi"/>
          <w:b/>
          <w:bCs/>
          <w:sz w:val="22"/>
          <w:szCs w:val="22"/>
          <w:u w:val="single"/>
          <w:rtl w:val="0"/>
          <w:lang w:val="fr"/>
        </w:rPr>
        <w:t xml:space="preserve"> </w:t>
      </w:r>
      <w:r w:rsidRPr="3F806670">
        <w:rPr>
          <w:rFonts w:asciiTheme="majorHAnsi" w:hAnsiTheme="majorHAnsi" w:cstheme="majorBidi"/>
          <w:sz w:val="22"/>
          <w:szCs w:val="22"/>
          <w:rtl w:val="0"/>
          <w:lang w:val="fr"/>
        </w:rPr>
        <w:t>en régie désigne un type d'emploi ou d'accord contractuel dans lequel le travailleur est rémunéré en fonction du temps qu'il passe à travailler (par exemple, taux horaire ou journalier) et du matériel ou des ressources utilisés pour effectuer le travail. Ce modèle est généralement utilisé pour les travailleurs occasionnels, les free-lances et les entrepreneurs qui sont engagés pour des missions ou des projets à court terme.</w:t>
      </w:r>
    </w:p>
    <w:p w:rsidR="009B1A09" w:rsidRPr="008E0A00" w:rsidP="00AD5774" w14:paraId="6B2BC5A7" w14:textId="6D12EE33">
      <w:pPr>
        <w:pStyle w:val="Heading1"/>
        <w:bidi w:val="0"/>
        <w:jc w:val="both"/>
        <w:rPr>
          <w:rFonts w:cstheme="majorHAnsi"/>
          <w:color w:val="auto"/>
        </w:rPr>
      </w:pPr>
      <w:bookmarkStart w:id="2" w:name="_Toc256000002"/>
      <w:r w:rsidRPr="008E0A00">
        <w:rPr>
          <w:rFonts w:cstheme="majorHAnsi"/>
          <w:color w:val="auto"/>
          <w:rtl w:val="0"/>
          <w:lang w:val="fr"/>
        </w:rPr>
        <w:t>CHAMP D'APPLICATION</w:t>
      </w:r>
      <w:bookmarkEnd w:id="2"/>
      <w:r w:rsidRPr="008E0A00">
        <w:rPr>
          <w:rFonts w:cstheme="majorHAnsi"/>
          <w:color w:val="auto"/>
          <w:rtl w:val="0"/>
          <w:lang w:val="fr"/>
        </w:rPr>
        <w:t xml:space="preserve"> </w:t>
      </w:r>
    </w:p>
    <w:p w:rsidR="001606B6" w:rsidRPr="0074239A" w:rsidP="00C77AB5" w14:paraId="1A8AFD95" w14:textId="0EF8622B">
      <w:pPr>
        <w:pStyle w:val="Heading2"/>
        <w:bidi w:val="0"/>
        <w:ind w:left="360"/>
        <w:rPr>
          <w:rFonts w:cstheme="majorHAnsi"/>
          <w:color w:val="auto"/>
          <w:sz w:val="22"/>
          <w:szCs w:val="22"/>
        </w:rPr>
      </w:pPr>
      <w:bookmarkStart w:id="3" w:name="_Toc256000003"/>
      <w:r w:rsidRPr="0074239A">
        <w:rPr>
          <w:rFonts w:cstheme="majorHAnsi"/>
          <w:color w:val="auto"/>
          <w:sz w:val="22"/>
          <w:szCs w:val="22"/>
          <w:rtl w:val="0"/>
          <w:lang w:val="fr"/>
        </w:rPr>
        <w:t>Champ d'application géographique</w:t>
      </w:r>
      <w:bookmarkEnd w:id="3"/>
    </w:p>
    <w:p w:rsidR="001606B6" w:rsidRPr="0074239A" w:rsidP="001606B6" w14:paraId="7897D0A5" w14:textId="77777777">
      <w:pPr>
        <w:ind w:left="360"/>
        <w:rPr>
          <w:rFonts w:asciiTheme="majorHAnsi" w:hAnsiTheme="majorHAnsi" w:cstheme="majorHAnsi"/>
          <w:sz w:val="22"/>
          <w:szCs w:val="22"/>
        </w:rPr>
      </w:pPr>
    </w:p>
    <w:p w:rsidR="00F94E8C" w:rsidP="00355B9F" w14:paraId="797B7075" w14:textId="6C5C4C8B">
      <w:pPr>
        <w:bidi w:val="0"/>
        <w:rPr>
          <w:rFonts w:asciiTheme="majorHAnsi" w:hAnsiTheme="majorHAnsi" w:cstheme="majorHAnsi"/>
          <w:sz w:val="22"/>
          <w:szCs w:val="22"/>
        </w:rPr>
      </w:pPr>
      <w:r w:rsidRPr="0074239A">
        <w:rPr>
          <w:rFonts w:asciiTheme="majorHAnsi" w:hAnsiTheme="majorHAnsi" w:cstheme="majorHAnsi"/>
          <w:sz w:val="22"/>
          <w:szCs w:val="22"/>
          <w:rtl w:val="0"/>
          <w:lang w:val="fr"/>
        </w:rPr>
        <w:t>Cette politique et ces lignes directrices s'appliquent à toutes les entités de Brink's dans le monde et à leurs activités d'approvisionnement liées au personnel externe.</w:t>
      </w:r>
    </w:p>
    <w:p w:rsidR="00484EE0" w:rsidP="00355B9F" w14:paraId="0F56BABF" w14:textId="77777777">
      <w:pPr>
        <w:rPr>
          <w:rFonts w:asciiTheme="majorHAnsi" w:hAnsiTheme="majorHAnsi" w:cstheme="majorHAnsi"/>
          <w:sz w:val="22"/>
          <w:szCs w:val="22"/>
        </w:rPr>
      </w:pPr>
    </w:p>
    <w:p w:rsidR="00484EE0" w:rsidRPr="0051357C" w:rsidP="00484EE0" w14:paraId="3174E492" w14:textId="3347723C">
      <w:pPr>
        <w:pStyle w:val="Heading2"/>
        <w:bidi w:val="0"/>
        <w:ind w:left="360"/>
        <w:rPr>
          <w:rFonts w:cstheme="majorHAnsi"/>
          <w:color w:val="auto"/>
          <w:sz w:val="22"/>
          <w:szCs w:val="22"/>
        </w:rPr>
      </w:pPr>
      <w:bookmarkStart w:id="4" w:name="_Toc256000004"/>
      <w:r>
        <w:rPr>
          <w:rFonts w:cstheme="majorHAnsi"/>
          <w:color w:val="auto"/>
          <w:sz w:val="22"/>
          <w:szCs w:val="22"/>
          <w:rtl w:val="0"/>
          <w:lang w:val="fr"/>
        </w:rPr>
        <w:t>Rôles dans le champ d'application de la politique</w:t>
      </w:r>
      <w:bookmarkEnd w:id="4"/>
    </w:p>
    <w:p w:rsidR="000B581D" w:rsidRPr="00F413DF" w:rsidP="00F413DF" w14:paraId="17882FD4" w14:textId="14269B76">
      <w:pPr>
        <w:pStyle w:val="Heading3"/>
        <w:numPr>
          <w:ilvl w:val="0"/>
          <w:numId w:val="0"/>
        </w:numPr>
        <w:bidi w:val="0"/>
        <w:rPr>
          <w:i/>
          <w:iCs/>
          <w:color w:val="auto"/>
          <w:sz w:val="22"/>
          <w:szCs w:val="22"/>
        </w:rPr>
      </w:pPr>
      <w:bookmarkStart w:id="5" w:name="_Toc64992937"/>
      <w:bookmarkStart w:id="6" w:name="_Toc256000005"/>
      <w:r w:rsidRPr="00F413DF">
        <w:rPr>
          <w:rStyle w:val="BodyTextChar"/>
          <w:rFonts w:asciiTheme="majorHAnsi" w:eastAsiaTheme="majorEastAsia" w:hAnsiTheme="majorHAnsi" w:cstheme="majorBidi"/>
          <w:i/>
          <w:iCs/>
          <w:color w:val="auto"/>
          <w:szCs w:val="22"/>
          <w:rtl w:val="0"/>
          <w:lang w:val="fr"/>
        </w:rPr>
        <w:t>Main-d'œuvre intérimaire</w:t>
      </w:r>
      <w:bookmarkEnd w:id="6"/>
      <w:bookmarkEnd w:id="5"/>
    </w:p>
    <w:p w:rsidR="0004799F" w:rsidRPr="0051357C" w:rsidP="000B581D" w14:paraId="7EBFA68A" w14:textId="77777777">
      <w:pPr>
        <w:pStyle w:val="NoSpacing"/>
        <w:jc w:val="both"/>
        <w:rPr>
          <w:rFonts w:asciiTheme="majorHAnsi" w:hAnsiTheme="majorHAnsi" w:cstheme="majorHAnsi"/>
          <w:bCs/>
          <w:u w:val="single"/>
          <w:lang w:eastAsia="nl-NL" w:bidi="nl-NL"/>
        </w:rPr>
      </w:pPr>
    </w:p>
    <w:p w:rsidR="003E3331" w:rsidP="6B3824FD" w14:paraId="7F66A13A" w14:textId="5EA6F7DE">
      <w:pPr>
        <w:pStyle w:val="NoSpacing"/>
        <w:bidi w:val="0"/>
        <w:rPr>
          <w:rFonts w:asciiTheme="majorHAnsi" w:hAnsiTheme="majorHAnsi" w:cstheme="majorBidi"/>
          <w:lang w:eastAsia="nl-NL" w:bidi="nl-NL"/>
        </w:rPr>
      </w:pPr>
      <w:r w:rsidR="005B6160">
        <w:rPr>
          <w:rtl w:val="0"/>
          <w:lang w:val="fr"/>
        </w:rPr>
        <w:t>Travailleur</w:t>
      </w:r>
      <w:r w:rsidRPr="6B3824FD">
        <w:rPr>
          <w:rFonts w:asciiTheme="majorHAnsi" w:hAnsiTheme="majorHAnsi" w:cstheme="majorBidi"/>
          <w:u w:val="single"/>
          <w:rtl w:val="0"/>
          <w:lang w:val="fr" w:eastAsia="nl-NL" w:bidi="nl-NL"/>
        </w:rPr>
        <w:br/>
        <w:t xml:space="preserve"> </w:t>
      </w:r>
      <w:r w:rsidR="005B6160">
        <w:rPr>
          <w:rtl w:val="0"/>
          <w:lang w:val="fr"/>
        </w:rPr>
        <w:t xml:space="preserve">temporaire Employé d'une société de recrutement qui est recruté, sélectionné et parfois formé par la société de recrutement pour effectuer un travail pour une organisation, en espérant que ce travail sera d'une durée déterminée. Comprend les travailleurs ayant les compétences, les connaissances et la formation requises pour occuper des postes dans l'industrie légère, les bureaux et le travail de bureau, la comptabilité et la finance, le droit, le marketing et la création, l'ingénierie, la technologie, la recherche et le développement, les ressources humaines et tout autre service similaire. </w:t>
      </w:r>
    </w:p>
    <w:p w:rsidR="000B581D" w:rsidP="6B3824FD" w14:paraId="035D9BC6" w14:textId="44E075AF">
      <w:pPr>
        <w:pStyle w:val="NoSpacing"/>
        <w:bidi w:val="0"/>
        <w:jc w:val="both"/>
        <w:rPr>
          <w:rFonts w:asciiTheme="majorHAnsi" w:hAnsiTheme="majorHAnsi" w:cstheme="majorBidi"/>
          <w:lang w:eastAsia="nl-NL" w:bidi="nl-NL"/>
        </w:rPr>
      </w:pPr>
      <w:r>
        <w:rPr>
          <w:rtl w:val="0"/>
          <w:lang w:val="fr"/>
        </w:rPr>
        <w:br/>
      </w:r>
      <w:r w:rsidRPr="6B3824FD" w:rsidR="6B3824FD">
        <w:rPr>
          <w:rFonts w:asciiTheme="majorHAnsi" w:hAnsiTheme="majorHAnsi" w:cstheme="majorBidi"/>
          <w:u w:val="single"/>
          <w:rtl w:val="0"/>
          <w:lang w:val="fr" w:eastAsia="nl-NL" w:bidi="nl-NL"/>
        </w:rPr>
        <w:t>ContractantUne</w:t>
      </w:r>
      <w:r>
        <w:rPr>
          <w:rtl w:val="0"/>
          <w:lang w:val="fr"/>
        </w:rPr>
        <w:br/>
        <w:t xml:space="preserve"> personne engagée pour fournir un service spécifique tel que défini dans un contrat et/ou un cahier des charges. Comprend les travailleurs indépendants, les freelances et les personnes qui effectuent des travaux de courte durée et qui ne sont pas affiliés à une organisation patronale particulière, bien qu'ils puissent être affiliés à une ou plusieurs entreprises de placement de personnel. Le tableau ci-dessous en donne une définition plus précise.</w:t>
      </w:r>
    </w:p>
    <w:p w:rsidR="00066940" w:rsidRPr="0051357C" w:rsidP="00DF7BCC" w14:paraId="4DE9DCE7" w14:textId="77777777">
      <w:pPr>
        <w:pStyle w:val="NoSpacing"/>
        <w:jc w:val="both"/>
        <w:rPr>
          <w:rFonts w:asciiTheme="majorHAnsi" w:hAnsiTheme="majorHAnsi" w:cstheme="majorHAnsi"/>
          <w:lang w:eastAsia="nl-NL" w:bidi="nl-NL"/>
        </w:rPr>
      </w:pPr>
    </w:p>
    <w:p w:rsidR="004E3658" w:rsidRPr="0051357C" w:rsidP="0051357C" w14:paraId="2A3A77CF" w14:textId="0EE27509">
      <w:pPr>
        <w:pStyle w:val="Heading2"/>
        <w:bidi w:val="0"/>
        <w:ind w:left="360"/>
        <w:jc w:val="both"/>
        <w:rPr>
          <w:rFonts w:cstheme="majorHAnsi"/>
          <w:sz w:val="22"/>
          <w:szCs w:val="22"/>
          <w:lang w:eastAsia="nl-NL" w:bidi="nl-NL"/>
        </w:rPr>
      </w:pPr>
      <w:r>
        <w:rPr>
          <w:rFonts w:cstheme="majorHAnsi"/>
          <w:color w:val="auto"/>
          <w:sz w:val="22"/>
          <w:szCs w:val="22"/>
          <w:rtl w:val="0"/>
          <w:lang w:val="fr"/>
        </w:rPr>
        <w:t xml:space="preserve"> </w:t>
      </w:r>
      <w:bookmarkStart w:id="7" w:name="_Toc256000006"/>
      <w:r>
        <w:rPr>
          <w:rFonts w:cstheme="majorHAnsi"/>
          <w:color w:val="auto"/>
          <w:sz w:val="22"/>
          <w:szCs w:val="22"/>
          <w:rtl w:val="0"/>
          <w:lang w:val="fr"/>
        </w:rPr>
        <w:t>Rôles hors du champ d'application de la politique</w:t>
      </w:r>
      <w:bookmarkEnd w:id="7"/>
    </w:p>
    <w:p w:rsidR="004E3658" w:rsidRPr="0051357C" w:rsidP="0051357C" w14:paraId="2335D1FC" w14:textId="28D3305C">
      <w:pPr>
        <w:pStyle w:val="Heading3"/>
        <w:numPr>
          <w:ilvl w:val="0"/>
          <w:numId w:val="0"/>
        </w:numPr>
        <w:bidi w:val="0"/>
        <w:jc w:val="both"/>
        <w:rPr>
          <w:rFonts w:cstheme="majorHAnsi"/>
          <w:i/>
          <w:iCs/>
          <w:color w:val="auto"/>
          <w:sz w:val="22"/>
          <w:szCs w:val="22"/>
        </w:rPr>
      </w:pPr>
      <w:bookmarkStart w:id="8" w:name="_Toc64992939"/>
      <w:bookmarkStart w:id="9" w:name="_Toc256000007"/>
      <w:r w:rsidRPr="0051357C">
        <w:rPr>
          <w:rFonts w:cstheme="majorHAnsi"/>
          <w:i/>
          <w:iCs/>
          <w:color w:val="auto"/>
          <w:sz w:val="22"/>
          <w:szCs w:val="22"/>
          <w:rtl w:val="0"/>
          <w:lang w:val="fr"/>
        </w:rPr>
        <w:t>Employés de Brink's</w:t>
      </w:r>
      <w:bookmarkEnd w:id="9"/>
      <w:bookmarkEnd w:id="8"/>
    </w:p>
    <w:p w:rsidR="004E3658" w:rsidRPr="0051357C" w:rsidP="0051357C" w14:paraId="0BF76315" w14:textId="467FE480">
      <w:pPr>
        <w:pStyle w:val="NoSpacing"/>
        <w:bidi w:val="0"/>
        <w:jc w:val="both"/>
      </w:pPr>
      <w:r w:rsidRPr="0051357C">
        <w:rPr>
          <w:rFonts w:asciiTheme="majorHAnsi" w:hAnsiTheme="majorHAnsi" w:cstheme="majorHAnsi"/>
          <w:rtl w:val="0"/>
          <w:lang w:val="fr"/>
        </w:rPr>
        <w:t>Les employés permanents ou temporaires payés directement par Brink's (sur la liste de paie de Brink's). Ils n'ont pas de date de fin d'emploi prédéterminée, à l'exception de certains employés à court terme qui sont payés par l'intermédiaire de Brink's Payroll. En plus de leur salaire, ils bénéficient souvent d'avantages tels que des soins de santé subventionnés, des vacances payées, des congés, des congés de maladie ou des cotisations à un plan de retraite. Veuillez noter que la main-d'œuvre</w:t>
      </w:r>
      <w:r w:rsidRPr="006B7893">
        <w:rPr>
          <w:rFonts w:asciiTheme="majorHAnsi" w:hAnsiTheme="majorHAnsi" w:cstheme="majorHAnsi"/>
          <w:i/>
          <w:rtl w:val="0"/>
          <w:lang w:val="fr"/>
        </w:rPr>
        <w:t xml:space="preserve"> </w:t>
      </w:r>
      <w:r w:rsidRPr="0051357C">
        <w:rPr>
          <w:rFonts w:asciiTheme="majorHAnsi" w:hAnsiTheme="majorHAnsi" w:cstheme="majorHAnsi"/>
          <w:rtl w:val="0"/>
          <w:lang w:val="fr"/>
        </w:rPr>
        <w:t xml:space="preserve">permanente et temporaire comprend à la fois les employés </w:t>
      </w:r>
      <w:r w:rsidRPr="006B7893">
        <w:rPr>
          <w:rFonts w:asciiTheme="majorHAnsi" w:hAnsiTheme="majorHAnsi" w:cstheme="majorHAnsi"/>
          <w:i/>
          <w:rtl w:val="0"/>
          <w:lang w:val="fr"/>
        </w:rPr>
        <w:t>à temps plein (ETP)</w:t>
      </w:r>
      <w:r w:rsidRPr="0051357C">
        <w:rPr>
          <w:rFonts w:asciiTheme="majorHAnsi" w:hAnsiTheme="majorHAnsi" w:cstheme="majorHAnsi"/>
          <w:rtl w:val="0"/>
          <w:lang w:val="fr"/>
        </w:rPr>
        <w:t xml:space="preserve"> et les employés travaillant à temps</w:t>
      </w:r>
      <w:r w:rsidRPr="006B7893">
        <w:rPr>
          <w:rFonts w:asciiTheme="majorHAnsi" w:hAnsiTheme="majorHAnsi" w:cstheme="majorHAnsi"/>
          <w:i/>
          <w:rtl w:val="0"/>
          <w:lang w:val="fr"/>
        </w:rPr>
        <w:t xml:space="preserve"> </w:t>
      </w:r>
      <w:r w:rsidRPr="0051357C">
        <w:rPr>
          <w:rFonts w:asciiTheme="majorHAnsi" w:hAnsiTheme="majorHAnsi" w:cstheme="majorHAnsi"/>
          <w:rtl w:val="0"/>
          <w:lang w:val="fr"/>
        </w:rPr>
        <w:t>partiel.</w:t>
      </w:r>
    </w:p>
    <w:p w:rsidR="004E3658" w:rsidRPr="0051357C" w:rsidP="0051357C" w14:paraId="2CA0C132" w14:textId="6CF34C8D">
      <w:pPr>
        <w:pStyle w:val="Heading3"/>
        <w:numPr>
          <w:ilvl w:val="0"/>
          <w:numId w:val="0"/>
        </w:numPr>
        <w:bidi w:val="0"/>
        <w:jc w:val="both"/>
        <w:rPr>
          <w:rFonts w:cstheme="majorHAnsi"/>
          <w:i/>
          <w:iCs/>
          <w:color w:val="auto"/>
          <w:sz w:val="22"/>
          <w:szCs w:val="22"/>
        </w:rPr>
      </w:pPr>
      <w:bookmarkStart w:id="10" w:name="_Toc64992941"/>
      <w:bookmarkStart w:id="11" w:name="_Toc256000008"/>
      <w:r w:rsidRPr="0051357C">
        <w:rPr>
          <w:rFonts w:cstheme="majorHAnsi"/>
          <w:i/>
          <w:iCs/>
          <w:color w:val="auto"/>
          <w:sz w:val="22"/>
          <w:szCs w:val="22"/>
          <w:rtl w:val="0"/>
          <w:lang w:val="fr"/>
        </w:rPr>
        <w:t>Stages</w:t>
      </w:r>
      <w:bookmarkEnd w:id="11"/>
      <w:bookmarkEnd w:id="10"/>
    </w:p>
    <w:p w:rsidR="004E3658" w:rsidP="004E3658" w14:paraId="2E206738" w14:textId="336DEF12">
      <w:pPr>
        <w:bidi w:val="0"/>
        <w:jc w:val="both"/>
        <w:rPr>
          <w:rFonts w:asciiTheme="majorHAnsi" w:hAnsiTheme="majorHAnsi" w:cstheme="majorHAnsi"/>
          <w:sz w:val="22"/>
          <w:szCs w:val="22"/>
        </w:rPr>
      </w:pPr>
      <w:r w:rsidRPr="0051357C">
        <w:rPr>
          <w:rFonts w:asciiTheme="majorHAnsi" w:hAnsiTheme="majorHAnsi" w:cstheme="majorHAnsi"/>
          <w:sz w:val="22"/>
          <w:szCs w:val="22"/>
          <w:rtl w:val="0"/>
          <w:lang w:val="fr"/>
        </w:rPr>
        <w:t>Un stagiaire peut être un employé temporaire qui est étudiant ou qui a récemment terminé ses études et qui reçoit une formation en acquérant une expérience pratique d'un type de travail. La durée d'un stage ne doit pas dépasser 12 mois, sous réserve de la législation applicable.</w:t>
      </w:r>
    </w:p>
    <w:p w:rsidR="00DF7BCC" w:rsidRPr="0051357C" w:rsidP="0051357C" w14:paraId="614F6C62" w14:textId="77777777">
      <w:pPr>
        <w:pStyle w:val="Heading3"/>
        <w:numPr>
          <w:ilvl w:val="0"/>
          <w:numId w:val="0"/>
        </w:numPr>
        <w:bidi w:val="0"/>
        <w:jc w:val="both"/>
        <w:rPr>
          <w:rFonts w:cstheme="majorHAnsi"/>
          <w:i/>
          <w:iCs/>
          <w:color w:val="auto"/>
          <w:sz w:val="22"/>
          <w:szCs w:val="22"/>
        </w:rPr>
      </w:pPr>
      <w:bookmarkStart w:id="12" w:name="_Toc256000009"/>
      <w:r w:rsidRPr="0051357C">
        <w:rPr>
          <w:rFonts w:cstheme="majorHAnsi"/>
          <w:i/>
          <w:iCs/>
          <w:color w:val="auto"/>
          <w:sz w:val="22"/>
          <w:szCs w:val="22"/>
          <w:rtl w:val="0"/>
          <w:lang w:val="fr"/>
        </w:rPr>
        <w:t>Travailleurs de première ligne</w:t>
      </w:r>
      <w:bookmarkEnd w:id="12"/>
      <w:r w:rsidRPr="0051357C">
        <w:rPr>
          <w:rFonts w:cstheme="majorHAnsi"/>
          <w:i/>
          <w:iCs/>
          <w:color w:val="auto"/>
          <w:sz w:val="22"/>
          <w:szCs w:val="22"/>
          <w:rtl w:val="0"/>
          <w:lang w:val="fr"/>
        </w:rPr>
        <w:t xml:space="preserve"> </w:t>
      </w:r>
    </w:p>
    <w:p w:rsidR="00DF7BCC" w:rsidP="00DF7BCC" w14:paraId="3EFDD002" w14:textId="1F9F4867">
      <w:pPr>
        <w:pStyle w:val="NoSpacing"/>
        <w:bidi w:val="0"/>
        <w:jc w:val="both"/>
        <w:rPr>
          <w:lang w:eastAsia="nl-NL" w:bidi="nl-NL"/>
        </w:rPr>
      </w:pPr>
      <w:r w:rsidRPr="6B3824FD">
        <w:rPr>
          <w:rtl w:val="0"/>
          <w:lang w:val="fr" w:eastAsia="nl-NL" w:bidi="nl-NL"/>
        </w:rPr>
        <w:t>Un travailleur de première ligne est considéré comme un employé directement impliqué dans nos opérations (par exemple, la main-d'œuvre occasionnelle embauchée dans nos centres de traitement des espèces). Les travailleurs de première ligne intérimaires, à court terme, temporaires ou saisonniers qui travaillent sur les lignes de production, qui fournissent un soutien général à la main-d'œuvre ou d'autres services similaires ne sont pas non plus inclus dans le champ d'application de cette politique.</w:t>
      </w:r>
    </w:p>
    <w:p w:rsidR="004E3658" w:rsidRPr="0051357C" w:rsidP="0051357C" w14:paraId="11D50BC8" w14:textId="77777777">
      <w:pPr>
        <w:pStyle w:val="Heading3"/>
        <w:numPr>
          <w:ilvl w:val="0"/>
          <w:numId w:val="0"/>
        </w:numPr>
        <w:bidi w:val="0"/>
        <w:jc w:val="both"/>
        <w:rPr>
          <w:rFonts w:eastAsia="Calibri" w:cstheme="majorHAnsi"/>
          <w:i/>
          <w:iCs/>
          <w:color w:val="auto"/>
          <w:sz w:val="22"/>
          <w:szCs w:val="22"/>
          <w:lang w:eastAsia="nl-NL" w:bidi="nl-NL"/>
        </w:rPr>
      </w:pPr>
      <w:bookmarkStart w:id="13" w:name="_Toc64992942"/>
      <w:bookmarkStart w:id="14" w:name="_Toc256000010"/>
      <w:r w:rsidRPr="0051357C">
        <w:rPr>
          <w:rStyle w:val="Heading3Char"/>
          <w:rFonts w:cstheme="majorHAnsi"/>
          <w:b/>
          <w:bCs/>
          <w:i/>
          <w:iCs/>
          <w:color w:val="auto"/>
          <w:sz w:val="22"/>
          <w:szCs w:val="22"/>
          <w:rtl w:val="0"/>
          <w:lang w:val="fr"/>
        </w:rPr>
        <w:t>Entreprises d'externalisation des processus d'affaires (BPO)</w:t>
      </w:r>
      <w:bookmarkEnd w:id="14"/>
      <w:bookmarkEnd w:id="13"/>
      <w:r w:rsidRPr="0051357C">
        <w:rPr>
          <w:rStyle w:val="Heading3Char"/>
          <w:rFonts w:cstheme="majorHAnsi"/>
          <w:b/>
          <w:bCs/>
          <w:i/>
          <w:iCs/>
          <w:color w:val="auto"/>
          <w:sz w:val="22"/>
          <w:szCs w:val="22"/>
          <w:rtl w:val="0"/>
          <w:lang w:val="fr"/>
        </w:rPr>
        <w:t xml:space="preserve"> </w:t>
      </w:r>
    </w:p>
    <w:p w:rsidR="004E3658" w:rsidP="004E3658" w14:paraId="3531A750" w14:textId="50305AB0">
      <w:pPr>
        <w:bidi w:val="0"/>
        <w:jc w:val="both"/>
        <w:rPr>
          <w:rFonts w:asciiTheme="majorHAnsi" w:hAnsiTheme="majorHAnsi" w:cstheme="majorHAnsi"/>
          <w:sz w:val="22"/>
          <w:szCs w:val="22"/>
          <w:lang w:eastAsia="nl-NL" w:bidi="nl-NL"/>
        </w:rPr>
      </w:pPr>
      <w:r w:rsidRPr="0051357C">
        <w:rPr>
          <w:rFonts w:asciiTheme="majorHAnsi" w:hAnsiTheme="majorHAnsi" w:cstheme="majorHAnsi"/>
          <w:sz w:val="22"/>
          <w:szCs w:val="22"/>
          <w:rtl w:val="0"/>
          <w:lang w:val="fr"/>
        </w:rPr>
        <w:t xml:space="preserve">L'externalisation des processus d'entreprise (BPO) est définie comme l'accord d'externalisation dans lequel des fonctions d'entreprise (telles que la finance, la comptabilité et le service à la clientèle) sont externalisées sans intention d'internaliser à nouveau la fonction. Les engagements avec les entreprises de BPO durent au moins trois ans. Par exemple, les activités d'assistance informatique réalisées par une société telle qu'Infosys relèvent de la BPO. </w:t>
      </w:r>
    </w:p>
    <w:p w:rsidR="00E83C76" w:rsidP="004E3658" w14:paraId="5B768955" w14:textId="77777777">
      <w:pPr>
        <w:jc w:val="both"/>
        <w:rPr>
          <w:rFonts w:asciiTheme="majorHAnsi" w:hAnsiTheme="majorHAnsi" w:cstheme="majorHAnsi"/>
          <w:sz w:val="22"/>
          <w:szCs w:val="22"/>
          <w:lang w:eastAsia="nl-NL" w:bidi="nl-NL"/>
        </w:rPr>
      </w:pPr>
    </w:p>
    <w:p w:rsidR="00E83C76" w:rsidRPr="00A96CF2" w:rsidP="004E3658" w14:paraId="55EE01D9" w14:textId="73218D0B">
      <w:pPr>
        <w:bidi w:val="0"/>
        <w:jc w:val="both"/>
        <w:rPr>
          <w:rFonts w:asciiTheme="majorHAnsi" w:hAnsiTheme="majorHAnsi" w:cstheme="majorHAnsi"/>
          <w:b/>
          <w:bCs/>
          <w:i/>
          <w:iCs/>
          <w:sz w:val="22"/>
          <w:szCs w:val="22"/>
          <w:lang w:eastAsia="nl-NL" w:bidi="nl-NL"/>
        </w:rPr>
      </w:pPr>
      <w:r w:rsidRPr="00A96CF2">
        <w:rPr>
          <w:rFonts w:asciiTheme="majorHAnsi" w:hAnsiTheme="majorHAnsi" w:cstheme="majorHAnsi"/>
          <w:b/>
          <w:bCs/>
          <w:i/>
          <w:iCs/>
          <w:sz w:val="22"/>
          <w:szCs w:val="22"/>
          <w:rtl w:val="0"/>
          <w:lang w:val="fr" w:eastAsia="nl-NL" w:bidi="nl-NL"/>
        </w:rPr>
        <w:t>Cabinets d'avocats</w:t>
      </w:r>
    </w:p>
    <w:p w:rsidR="00E83C76" w:rsidRPr="0051357C" w:rsidP="004E3658" w14:paraId="04C4292A" w14:textId="2FE92277">
      <w:pPr>
        <w:bidi w:val="0"/>
        <w:jc w:val="both"/>
        <w:rPr>
          <w:rFonts w:asciiTheme="majorHAnsi" w:hAnsiTheme="majorHAnsi" w:cstheme="majorHAnsi"/>
          <w:sz w:val="22"/>
          <w:szCs w:val="22"/>
          <w:lang w:val="en-GB"/>
        </w:rPr>
      </w:pPr>
      <w:r>
        <w:rPr>
          <w:rFonts w:asciiTheme="majorHAnsi" w:hAnsiTheme="majorHAnsi" w:cstheme="majorHAnsi"/>
          <w:sz w:val="22"/>
          <w:szCs w:val="22"/>
          <w:rtl w:val="0"/>
          <w:lang w:val="fr"/>
        </w:rPr>
        <w:t>Un cabinet d'avocats est une entité commerciale formée par un ou plusieurs avocats pour fournir des conseils juridiques à leurs clients, les représenter dans des litiges juridiques et traiter des questions telles que les contrats, les litiges et les négociations. La sélection et l'embauche de cabinets d'avocats sont régies par la politique des services juridiques de la Brink's.</w:t>
      </w:r>
    </w:p>
    <w:p w:rsidR="009401F0" w:rsidRPr="0051357C" w:rsidP="00265B75" w14:paraId="5243A958" w14:textId="0BE46F9F">
      <w:pPr>
        <w:pStyle w:val="Heading3"/>
        <w:numPr>
          <w:ilvl w:val="0"/>
          <w:numId w:val="0"/>
        </w:numPr>
        <w:tabs>
          <w:tab w:val="left" w:pos="9135"/>
        </w:tabs>
        <w:bidi w:val="0"/>
        <w:rPr>
          <w:rFonts w:cstheme="majorHAnsi"/>
          <w:i/>
          <w:iCs/>
          <w:color w:val="auto"/>
          <w:sz w:val="22"/>
          <w:szCs w:val="22"/>
          <w:lang w:eastAsia="nl-NL" w:bidi="nl-NL"/>
        </w:rPr>
      </w:pPr>
      <w:bookmarkStart w:id="15" w:name="_Toc256000011"/>
      <w:r w:rsidRPr="0051357C">
        <w:rPr>
          <w:rFonts w:cstheme="majorHAnsi"/>
          <w:i/>
          <w:iCs/>
          <w:color w:val="auto"/>
          <w:sz w:val="22"/>
          <w:szCs w:val="22"/>
          <w:rtl w:val="0"/>
          <w:lang w:val="fr" w:eastAsia="nl-NL" w:bidi="nl-NL"/>
        </w:rPr>
        <w:t>Projets de consultation</w:t>
      </w:r>
      <w:bookmarkEnd w:id="15"/>
      <w:r w:rsidRPr="0051357C">
        <w:rPr>
          <w:rFonts w:cstheme="majorHAnsi"/>
          <w:i/>
          <w:iCs/>
          <w:color w:val="auto"/>
          <w:sz w:val="22"/>
          <w:szCs w:val="22"/>
          <w:rtl w:val="0"/>
          <w:lang w:val="fr" w:eastAsia="nl-NL" w:bidi="nl-NL"/>
        </w:rPr>
        <w:tab/>
      </w:r>
    </w:p>
    <w:p w:rsidR="008C25BC" w:rsidP="00D008D8" w14:paraId="41AA2E9B" w14:textId="1A301571">
      <w:pPr>
        <w:bidi w:val="0"/>
        <w:rPr>
          <w:rFonts w:asciiTheme="majorHAnsi" w:hAnsiTheme="majorHAnsi" w:cstheme="majorBidi"/>
          <w:sz w:val="22"/>
          <w:szCs w:val="22"/>
          <w:lang w:eastAsia="nl-NL" w:bidi="nl-NL"/>
        </w:rPr>
      </w:pPr>
      <w:r w:rsidRPr="00D008D8">
        <w:rPr>
          <w:rFonts w:asciiTheme="majorHAnsi" w:hAnsiTheme="majorHAnsi" w:cstheme="majorBidi"/>
          <w:sz w:val="22"/>
          <w:szCs w:val="22"/>
          <w:rtl w:val="0"/>
          <w:lang w:val="fr" w:eastAsia="nl-NL" w:bidi="nl-NL"/>
        </w:rPr>
        <w:t xml:space="preserve">Les projets de conseil impliquent des entreprises ou des individus rémunérés sur la base d'un produit ou d'un résultat spécifique, plutôt qu'en fonction du temps passé. Les consultants sont engagés pour fournir des conseils stratégiques ou des services spécialisés, et leurs honoraires sont généralement fixes ou basés sur des projets. </w:t>
      </w:r>
    </w:p>
    <w:p w:rsidR="008C25BC" w:rsidP="00D008D8" w14:paraId="3A3AA1B6" w14:textId="77777777">
      <w:pPr>
        <w:rPr>
          <w:rFonts w:asciiTheme="majorHAnsi" w:hAnsiTheme="majorHAnsi" w:cstheme="majorBidi"/>
          <w:sz w:val="22"/>
          <w:szCs w:val="22"/>
          <w:u w:val="single"/>
          <w:lang w:eastAsia="nl-NL" w:bidi="nl-NL"/>
        </w:rPr>
      </w:pPr>
    </w:p>
    <w:p w:rsidR="00C4680F" w:rsidRPr="0051357C" w:rsidP="00D008D8" w14:paraId="58A5F696" w14:textId="77777777">
      <w:pPr>
        <w:rPr>
          <w:rFonts w:asciiTheme="majorHAnsi" w:hAnsiTheme="majorHAnsi" w:cstheme="majorBidi"/>
          <w:sz w:val="22"/>
          <w:szCs w:val="22"/>
          <w:lang w:eastAsia="nl-NL" w:bidi="nl-NL"/>
        </w:rPr>
      </w:pPr>
    </w:p>
    <w:p w:rsidR="00C4680F" w:rsidRPr="0051357C" w:rsidP="00D008D8" w14:paraId="5B1C77EF" w14:textId="353F6AA4">
      <w:pPr>
        <w:bidi w:val="0"/>
        <w:rPr>
          <w:rFonts w:asciiTheme="majorHAnsi" w:hAnsiTheme="majorHAnsi" w:cstheme="majorBidi"/>
          <w:sz w:val="22"/>
          <w:szCs w:val="22"/>
          <w:u w:val="single"/>
          <w:lang w:eastAsia="nl-NL" w:bidi="nl-NL"/>
        </w:rPr>
      </w:pPr>
      <w:r w:rsidRPr="0051357C">
        <w:rPr>
          <w:rFonts w:asciiTheme="majorHAnsi" w:hAnsiTheme="majorHAnsi" w:cstheme="majorBidi"/>
          <w:sz w:val="22"/>
          <w:szCs w:val="22"/>
          <w:u w:val="single"/>
          <w:rtl w:val="0"/>
          <w:lang w:val="fr" w:eastAsia="nl-NL" w:bidi="nl-NL"/>
        </w:rPr>
        <w:t>Voir ci-dessous pour plus de précisions :</w:t>
      </w:r>
    </w:p>
    <w:p w:rsidR="007D6515" w:rsidRPr="0074239A" w:rsidP="00935718" w14:paraId="36157DE0" w14:textId="77777777">
      <w:pPr>
        <w:rPr>
          <w:rFonts w:asciiTheme="majorHAnsi" w:hAnsiTheme="majorHAnsi" w:cstheme="majorHAnsi"/>
          <w:sz w:val="22"/>
          <w:szCs w:val="22"/>
        </w:rPr>
      </w:pPr>
    </w:p>
    <w:tbl>
      <w:tblPr>
        <w:tblStyle w:val="TableGrid"/>
        <w:tblW w:w="0" w:type="auto"/>
        <w:tblLook w:val="04A0"/>
      </w:tblPr>
      <w:tblGrid>
        <w:gridCol w:w="1435"/>
        <w:gridCol w:w="4140"/>
        <w:gridCol w:w="4770"/>
      </w:tblGrid>
      <w:tr w14:paraId="3A7D5B6E" w14:textId="77777777" w:rsidTr="00683D29">
        <w:tblPrEx>
          <w:tblW w:w="0" w:type="auto"/>
          <w:tblLook w:val="04A0"/>
        </w:tblPrEx>
        <w:trPr>
          <w:trHeight w:val="242"/>
        </w:trPr>
        <w:tc>
          <w:tcPr>
            <w:tcW w:w="1435" w:type="dxa"/>
            <w:shd w:val="clear" w:color="auto" w:fill="BCD3EE"/>
          </w:tcPr>
          <w:p w:rsidR="006C341A" w:rsidRPr="00500682" w:rsidP="00E74EF7" w14:paraId="3FAEE1FD" w14:textId="77777777">
            <w:pPr>
              <w:bidi w:val="0"/>
              <w:jc w:val="both"/>
              <w:rPr>
                <w:rFonts w:eastAsia="Calibri" w:asciiTheme="majorHAnsi" w:hAnsiTheme="majorHAnsi" w:cstheme="majorHAnsi"/>
                <w:b/>
                <w:bCs/>
                <w:lang w:eastAsia="nl-NL" w:bidi="nl-NL"/>
              </w:rPr>
            </w:pPr>
            <w:r w:rsidRPr="00500682">
              <w:rPr>
                <w:rFonts w:eastAsia="Calibri" w:asciiTheme="majorHAnsi" w:hAnsiTheme="majorHAnsi" w:cstheme="majorHAnsi"/>
                <w:b/>
                <w:bCs/>
                <w:rtl w:val="0"/>
                <w:lang w:val="fr" w:eastAsia="nl-NL" w:bidi="nl-NL"/>
              </w:rPr>
              <w:t>Critères</w:t>
            </w:r>
          </w:p>
        </w:tc>
        <w:tc>
          <w:tcPr>
            <w:tcW w:w="4140" w:type="dxa"/>
            <w:shd w:val="clear" w:color="auto" w:fill="BCD3EE"/>
          </w:tcPr>
          <w:p w:rsidR="006C341A" w:rsidRPr="00500682" w:rsidP="00E74EF7" w14:paraId="33208FF6" w14:textId="5DD5333D">
            <w:pPr>
              <w:bidi w:val="0"/>
              <w:jc w:val="both"/>
              <w:rPr>
                <w:rFonts w:eastAsia="Calibri" w:asciiTheme="majorHAnsi" w:hAnsiTheme="majorHAnsi" w:cstheme="majorHAnsi"/>
                <w:b/>
                <w:bCs/>
                <w:lang w:eastAsia="nl-NL" w:bidi="nl-NL"/>
              </w:rPr>
            </w:pPr>
            <w:r>
              <w:rPr>
                <w:rFonts w:eastAsia="Calibri" w:asciiTheme="majorHAnsi" w:hAnsiTheme="majorHAnsi" w:cstheme="majorHAnsi"/>
                <w:b/>
                <w:bCs/>
                <w:rtl w:val="0"/>
                <w:lang w:val="fr" w:eastAsia="nl-NL" w:bidi="nl-NL"/>
              </w:rPr>
              <w:t>Effectifs conditionnels (en cours)</w:t>
            </w:r>
          </w:p>
        </w:tc>
        <w:tc>
          <w:tcPr>
            <w:tcW w:w="4770" w:type="dxa"/>
            <w:shd w:val="clear" w:color="auto" w:fill="BCD3EE"/>
          </w:tcPr>
          <w:p w:rsidR="006C341A" w:rsidRPr="00500682" w:rsidP="00E74EF7" w14:paraId="033F9D2C" w14:textId="10AB35F6">
            <w:pPr>
              <w:bidi w:val="0"/>
              <w:jc w:val="both"/>
              <w:rPr>
                <w:rFonts w:eastAsia="Calibri" w:asciiTheme="majorHAnsi" w:hAnsiTheme="majorHAnsi" w:cstheme="majorHAnsi"/>
                <w:b/>
                <w:bCs/>
                <w:lang w:eastAsia="nl-NL" w:bidi="nl-NL"/>
              </w:rPr>
            </w:pPr>
            <w:r>
              <w:rPr>
                <w:rFonts w:eastAsia="Calibri" w:asciiTheme="majorHAnsi" w:hAnsiTheme="majorHAnsi" w:cstheme="majorHAnsi"/>
                <w:b/>
                <w:bCs/>
                <w:rtl w:val="0"/>
                <w:lang w:val="fr" w:eastAsia="nl-NL" w:bidi="nl-NL"/>
              </w:rPr>
              <w:t>Projets de conseil (hors champ d'application)</w:t>
            </w:r>
          </w:p>
        </w:tc>
      </w:tr>
      <w:tr w14:paraId="4E43D6A7" w14:textId="77777777" w:rsidTr="0051357C">
        <w:tblPrEx>
          <w:tblW w:w="0" w:type="auto"/>
          <w:tblLook w:val="04A0"/>
        </w:tblPrEx>
        <w:tc>
          <w:tcPr>
            <w:tcW w:w="1435" w:type="dxa"/>
          </w:tcPr>
          <w:p w:rsidR="006C341A" w:rsidRPr="00500682" w:rsidP="00E74EF7" w14:paraId="76295883" w14:textId="4969C2CA">
            <w:pPr>
              <w:bidi w:val="0"/>
              <w:rPr>
                <w:rFonts w:eastAsia="Calibri" w:asciiTheme="majorHAnsi" w:hAnsiTheme="majorHAnsi" w:cstheme="majorHAnsi"/>
                <w:b/>
                <w:bCs/>
                <w:lang w:eastAsia="nl-NL" w:bidi="nl-NL"/>
              </w:rPr>
            </w:pPr>
            <w:r w:rsidRPr="00500682">
              <w:rPr>
                <w:rFonts w:eastAsia="Calibri" w:asciiTheme="majorHAnsi" w:hAnsiTheme="majorHAnsi" w:cstheme="majorHAnsi"/>
                <w:b/>
                <w:bCs/>
                <w:rtl w:val="0"/>
                <w:lang w:val="fr" w:eastAsia="nl-NL" w:bidi="nl-NL"/>
              </w:rPr>
              <w:t>Travail défini par :</w:t>
            </w:r>
          </w:p>
        </w:tc>
        <w:tc>
          <w:tcPr>
            <w:tcW w:w="4140" w:type="dxa"/>
          </w:tcPr>
          <w:p w:rsidR="006C341A" w:rsidRPr="00500682" w:rsidP="00E74EF7" w14:paraId="2B358A5C" w14:textId="1D430699">
            <w:pPr>
              <w:bidi w:val="0"/>
              <w:jc w:val="both"/>
              <w:rPr>
                <w:rFonts w:eastAsia="Calibri" w:asciiTheme="majorHAnsi" w:hAnsiTheme="majorHAnsi" w:cstheme="majorHAnsi"/>
                <w:lang w:eastAsia="nl-NL" w:bidi="nl-NL"/>
              </w:rPr>
            </w:pPr>
            <w:r w:rsidRPr="00500682">
              <w:rPr>
                <w:rFonts w:eastAsia="Calibri" w:asciiTheme="majorHAnsi" w:hAnsiTheme="majorHAnsi" w:cstheme="majorHAnsi"/>
                <w:rtl w:val="0"/>
                <w:lang w:val="fr" w:eastAsia="nl-NL" w:bidi="nl-NL"/>
              </w:rPr>
              <w:t>Un rôle limité dans le temps, d'une durée maximale de 12 mois, défini par une description de poste.</w:t>
            </w:r>
          </w:p>
        </w:tc>
        <w:tc>
          <w:tcPr>
            <w:tcW w:w="4770" w:type="dxa"/>
          </w:tcPr>
          <w:p w:rsidR="006C341A" w:rsidRPr="00500682" w:rsidP="00E74EF7" w14:paraId="4009AD22" w14:textId="77777777">
            <w:pPr>
              <w:bidi w:val="0"/>
              <w:jc w:val="both"/>
              <w:rPr>
                <w:rFonts w:eastAsia="Calibri" w:asciiTheme="majorHAnsi" w:hAnsiTheme="majorHAnsi" w:cstheme="majorHAnsi"/>
                <w:lang w:eastAsia="nl-NL" w:bidi="nl-NL"/>
              </w:rPr>
            </w:pPr>
            <w:r w:rsidRPr="00500682">
              <w:rPr>
                <w:rFonts w:eastAsia="Calibri" w:asciiTheme="majorHAnsi" w:hAnsiTheme="majorHAnsi" w:cstheme="majorHAnsi"/>
                <w:rtl w:val="0"/>
                <w:lang w:val="fr" w:eastAsia="nl-NL" w:bidi="nl-NL"/>
              </w:rPr>
              <w:t>Un service avec des produits livrables et des étapes clairement définis pour les activités de moins de 24 mois.</w:t>
            </w:r>
          </w:p>
        </w:tc>
      </w:tr>
      <w:tr w14:paraId="592EA028" w14:textId="77777777" w:rsidTr="0051357C">
        <w:tblPrEx>
          <w:tblW w:w="0" w:type="auto"/>
          <w:tblLook w:val="04A0"/>
        </w:tblPrEx>
        <w:tc>
          <w:tcPr>
            <w:tcW w:w="1435" w:type="dxa"/>
          </w:tcPr>
          <w:p w:rsidR="006C341A" w:rsidRPr="00500682" w:rsidP="00E74EF7" w14:paraId="1B8EB4B0" w14:textId="20D97503">
            <w:pPr>
              <w:bidi w:val="0"/>
              <w:rPr>
                <w:rFonts w:eastAsia="Calibri" w:asciiTheme="majorHAnsi" w:hAnsiTheme="majorHAnsi" w:cstheme="majorHAnsi"/>
                <w:b/>
                <w:bCs/>
                <w:lang w:eastAsia="nl-NL" w:bidi="nl-NL"/>
              </w:rPr>
            </w:pPr>
            <w:r w:rsidRPr="00500682">
              <w:rPr>
                <w:rFonts w:eastAsia="Calibri" w:asciiTheme="majorHAnsi" w:hAnsiTheme="majorHAnsi" w:cstheme="majorHAnsi"/>
                <w:b/>
                <w:bCs/>
                <w:rtl w:val="0"/>
                <w:lang w:val="fr" w:eastAsia="nl-NL" w:bidi="nl-NL"/>
              </w:rPr>
              <w:t>Paiement</w:t>
            </w:r>
          </w:p>
        </w:tc>
        <w:tc>
          <w:tcPr>
            <w:tcW w:w="4140" w:type="dxa"/>
          </w:tcPr>
          <w:p w:rsidR="006C341A" w:rsidRPr="00500682" w:rsidP="00E74EF7" w14:paraId="4CB68C9E" w14:textId="77777777">
            <w:pPr>
              <w:bidi w:val="0"/>
              <w:jc w:val="both"/>
              <w:rPr>
                <w:rFonts w:eastAsia="Calibri" w:asciiTheme="majorHAnsi" w:hAnsiTheme="majorHAnsi" w:cstheme="majorHAnsi"/>
                <w:lang w:eastAsia="nl-NL" w:bidi="nl-NL"/>
              </w:rPr>
            </w:pPr>
            <w:r w:rsidRPr="00500682">
              <w:rPr>
                <w:rFonts w:eastAsia="Calibri" w:asciiTheme="majorHAnsi" w:hAnsiTheme="majorHAnsi" w:cstheme="majorHAnsi"/>
                <w:rtl w:val="0"/>
                <w:lang w:val="fr" w:eastAsia="nl-NL" w:bidi="nl-NL"/>
              </w:rPr>
              <w:t>Sur la base du temps et du matériel (par exemple, taux horaire)</w:t>
            </w:r>
          </w:p>
        </w:tc>
        <w:tc>
          <w:tcPr>
            <w:tcW w:w="4770" w:type="dxa"/>
          </w:tcPr>
          <w:p w:rsidR="006C341A" w:rsidRPr="00500682" w:rsidP="00E74EF7" w14:paraId="123D6A95" w14:textId="77777777">
            <w:pPr>
              <w:bidi w:val="0"/>
              <w:jc w:val="both"/>
              <w:rPr>
                <w:rFonts w:eastAsia="Calibri" w:asciiTheme="majorHAnsi" w:hAnsiTheme="majorHAnsi" w:cstheme="majorHAnsi"/>
                <w:lang w:eastAsia="nl-NL" w:bidi="nl-NL"/>
              </w:rPr>
            </w:pPr>
            <w:r w:rsidRPr="00500682">
              <w:rPr>
                <w:rFonts w:eastAsia="Calibri" w:asciiTheme="majorHAnsi" w:hAnsiTheme="majorHAnsi" w:cstheme="majorHAnsi"/>
                <w:rtl w:val="0"/>
                <w:lang w:val="fr" w:eastAsia="nl-NL" w:bidi="nl-NL"/>
              </w:rPr>
              <w:t>Sur la base de la réalisation et de l'achèvement des produits et des étapes.</w:t>
            </w:r>
          </w:p>
        </w:tc>
      </w:tr>
      <w:tr w14:paraId="7CB2FD0C" w14:textId="77777777" w:rsidTr="0051357C">
        <w:tblPrEx>
          <w:tblW w:w="0" w:type="auto"/>
          <w:tblLook w:val="04A0"/>
        </w:tblPrEx>
        <w:tc>
          <w:tcPr>
            <w:tcW w:w="1435" w:type="dxa"/>
          </w:tcPr>
          <w:p w:rsidR="006C341A" w:rsidRPr="00500682" w:rsidP="00E74EF7" w14:paraId="6CC30A0D" w14:textId="560F9630">
            <w:pPr>
              <w:bidi w:val="0"/>
              <w:rPr>
                <w:rFonts w:eastAsia="Calibri" w:asciiTheme="majorHAnsi" w:hAnsiTheme="majorHAnsi" w:cstheme="majorHAnsi"/>
                <w:b/>
                <w:bCs/>
                <w:lang w:eastAsia="nl-NL" w:bidi="nl-NL"/>
              </w:rPr>
            </w:pPr>
            <w:r w:rsidRPr="00500682">
              <w:rPr>
                <w:rFonts w:eastAsia="Calibri" w:asciiTheme="majorHAnsi" w:hAnsiTheme="majorHAnsi" w:cstheme="majorHAnsi"/>
                <w:b/>
                <w:bCs/>
                <w:rtl w:val="0"/>
                <w:lang w:val="fr" w:eastAsia="nl-NL" w:bidi="nl-NL"/>
              </w:rPr>
              <w:t>Profils individuels</w:t>
            </w:r>
          </w:p>
        </w:tc>
        <w:tc>
          <w:tcPr>
            <w:tcW w:w="4140" w:type="dxa"/>
          </w:tcPr>
          <w:p w:rsidR="006C341A" w:rsidRPr="00500682" w:rsidP="00E74EF7" w14:paraId="116587AA" w14:textId="25B113FE">
            <w:pPr>
              <w:bidi w:val="0"/>
              <w:jc w:val="both"/>
              <w:rPr>
                <w:rFonts w:eastAsia="Calibri" w:asciiTheme="majorHAnsi" w:hAnsiTheme="majorHAnsi" w:cstheme="majorBidi"/>
                <w:lang w:eastAsia="nl-NL" w:bidi="nl-NL"/>
              </w:rPr>
            </w:pPr>
            <w:r w:rsidRPr="31C84DF2">
              <w:rPr>
                <w:rFonts w:eastAsia="Calibri" w:asciiTheme="majorHAnsi" w:hAnsiTheme="majorHAnsi" w:cstheme="majorBidi"/>
                <w:rtl w:val="0"/>
                <w:lang w:val="fr" w:eastAsia="nl-NL" w:bidi="nl-NL"/>
              </w:rPr>
              <w:t>Les profils individuels sont déterminés par Brink's, comme la sélection d'un candidat spécifique.</w:t>
            </w:r>
          </w:p>
        </w:tc>
        <w:tc>
          <w:tcPr>
            <w:tcW w:w="4770" w:type="dxa"/>
          </w:tcPr>
          <w:p w:rsidR="006C341A" w:rsidRPr="00500682" w:rsidP="00E74EF7" w14:paraId="7F1250CE" w14:textId="2AC0DBC2">
            <w:pPr>
              <w:bidi w:val="0"/>
              <w:jc w:val="both"/>
              <w:rPr>
                <w:rFonts w:eastAsia="Calibri" w:asciiTheme="majorHAnsi" w:hAnsiTheme="majorHAnsi" w:cstheme="majorHAnsi"/>
                <w:lang w:eastAsia="nl-NL" w:bidi="nl-NL"/>
              </w:rPr>
            </w:pPr>
            <w:r w:rsidRPr="00500682">
              <w:rPr>
                <w:rFonts w:eastAsia="Calibri" w:asciiTheme="majorHAnsi" w:hAnsiTheme="majorHAnsi" w:cstheme="majorHAnsi"/>
                <w:rtl w:val="0"/>
                <w:lang w:val="fr" w:eastAsia="nl-NL" w:bidi="nl-NL"/>
              </w:rPr>
              <w:t>Les profils individuels ne sont pas déterminés par Brink's et sont sélectionnés à la discrétion du fournisseur.</w:t>
            </w:r>
          </w:p>
        </w:tc>
      </w:tr>
      <w:tr w14:paraId="0F35B81C" w14:textId="77777777" w:rsidTr="0051357C">
        <w:tblPrEx>
          <w:tblW w:w="0" w:type="auto"/>
          <w:tblLook w:val="04A0"/>
        </w:tblPrEx>
        <w:tc>
          <w:tcPr>
            <w:tcW w:w="1435" w:type="dxa"/>
          </w:tcPr>
          <w:p w:rsidR="006C341A" w:rsidRPr="00500682" w:rsidP="00E74EF7" w14:paraId="79A2AC44" w14:textId="77777777">
            <w:pPr>
              <w:bidi w:val="0"/>
              <w:rPr>
                <w:rFonts w:eastAsia="Calibri" w:asciiTheme="majorHAnsi" w:hAnsiTheme="majorHAnsi" w:cstheme="majorHAnsi"/>
                <w:b/>
                <w:bCs/>
                <w:lang w:eastAsia="nl-NL" w:bidi="nl-NL"/>
              </w:rPr>
            </w:pPr>
            <w:r w:rsidRPr="00500682">
              <w:rPr>
                <w:rFonts w:eastAsia="Calibri" w:asciiTheme="majorHAnsi" w:hAnsiTheme="majorHAnsi" w:cstheme="majorHAnsi"/>
                <w:b/>
                <w:bCs/>
                <w:rtl w:val="0"/>
                <w:lang w:val="fr" w:eastAsia="nl-NL" w:bidi="nl-NL"/>
              </w:rPr>
              <w:t>Supervision</w:t>
            </w:r>
          </w:p>
        </w:tc>
        <w:tc>
          <w:tcPr>
            <w:tcW w:w="4140" w:type="dxa"/>
          </w:tcPr>
          <w:p w:rsidR="006C341A" w:rsidRPr="00500682" w:rsidP="00E74EF7" w14:paraId="70B7B718" w14:textId="77777777">
            <w:pPr>
              <w:bidi w:val="0"/>
              <w:jc w:val="both"/>
              <w:rPr>
                <w:rFonts w:eastAsia="Calibri" w:asciiTheme="majorHAnsi" w:hAnsiTheme="majorHAnsi" w:cstheme="majorHAnsi"/>
                <w:lang w:eastAsia="nl-NL" w:bidi="nl-NL"/>
              </w:rPr>
            </w:pPr>
            <w:r w:rsidRPr="00500682">
              <w:rPr>
                <w:rFonts w:eastAsia="Calibri" w:asciiTheme="majorHAnsi" w:hAnsiTheme="majorHAnsi" w:cstheme="majorHAnsi"/>
                <w:rtl w:val="0"/>
                <w:lang w:val="fr" w:eastAsia="nl-NL" w:bidi="nl-NL"/>
              </w:rPr>
              <w:t xml:space="preserve">Dirigé par Brink's (comme le responsable du recrutement) </w:t>
            </w:r>
          </w:p>
        </w:tc>
        <w:tc>
          <w:tcPr>
            <w:tcW w:w="4770" w:type="dxa"/>
          </w:tcPr>
          <w:p w:rsidR="006C341A" w:rsidRPr="00500682" w:rsidP="00E74EF7" w14:paraId="52F80070" w14:textId="77777777">
            <w:pPr>
              <w:bidi w:val="0"/>
              <w:jc w:val="both"/>
              <w:rPr>
                <w:rFonts w:eastAsia="Calibri" w:asciiTheme="majorHAnsi" w:hAnsiTheme="majorHAnsi" w:cstheme="majorHAnsi"/>
                <w:lang w:eastAsia="nl-NL" w:bidi="nl-NL"/>
              </w:rPr>
            </w:pPr>
            <w:r w:rsidRPr="00500682">
              <w:rPr>
                <w:rFonts w:eastAsia="Calibri" w:asciiTheme="majorHAnsi" w:hAnsiTheme="majorHAnsi" w:cstheme="majorHAnsi"/>
                <w:rtl w:val="0"/>
                <w:lang w:val="fr" w:eastAsia="nl-NL" w:bidi="nl-NL"/>
              </w:rPr>
              <w:t>Dirigé par le fournisseur (par exemple, le responsable du compte fournisseur)</w:t>
            </w:r>
          </w:p>
        </w:tc>
      </w:tr>
      <w:tr w14:paraId="23921145" w14:textId="77777777" w:rsidTr="0051357C">
        <w:tblPrEx>
          <w:tblW w:w="0" w:type="auto"/>
          <w:tblLook w:val="04A0"/>
        </w:tblPrEx>
        <w:tc>
          <w:tcPr>
            <w:tcW w:w="1435" w:type="dxa"/>
          </w:tcPr>
          <w:p w:rsidR="008E318B" w:rsidRPr="00500682" w:rsidP="00E74EF7" w14:paraId="2B2EA27D" w14:textId="6C02FB81">
            <w:pPr>
              <w:bidi w:val="0"/>
              <w:rPr>
                <w:rFonts w:eastAsia="Calibri" w:asciiTheme="majorHAnsi" w:hAnsiTheme="majorHAnsi" w:cstheme="majorHAnsi"/>
                <w:b/>
                <w:bCs/>
                <w:lang w:eastAsia="nl-NL" w:bidi="nl-NL"/>
              </w:rPr>
            </w:pPr>
            <w:r>
              <w:rPr>
                <w:rFonts w:eastAsia="Calibri" w:asciiTheme="majorHAnsi" w:hAnsiTheme="majorHAnsi" w:cstheme="majorHAnsi"/>
                <w:b/>
                <w:bCs/>
                <w:rtl w:val="0"/>
                <w:lang w:val="fr" w:eastAsia="nl-NL" w:bidi="nl-NL"/>
              </w:rPr>
              <w:t>Emploi temporaire</w:t>
            </w:r>
          </w:p>
        </w:tc>
        <w:tc>
          <w:tcPr>
            <w:tcW w:w="4140" w:type="dxa"/>
            <w:shd w:val="clear" w:color="auto" w:fill="auto"/>
          </w:tcPr>
          <w:p w:rsidR="008E318B" w:rsidRPr="00500682" w:rsidP="00E74EF7" w14:paraId="371C546D" w14:textId="696394CB">
            <w:pPr>
              <w:bidi w:val="0"/>
              <w:jc w:val="both"/>
              <w:rPr>
                <w:rFonts w:eastAsia="Calibri" w:asciiTheme="majorHAnsi" w:hAnsiTheme="majorHAnsi" w:cstheme="majorHAnsi"/>
                <w:lang w:eastAsia="nl-NL" w:bidi="nl-NL"/>
              </w:rPr>
            </w:pPr>
            <w:r>
              <w:rPr>
                <w:rFonts w:eastAsia="Calibri" w:asciiTheme="majorHAnsi" w:hAnsiTheme="majorHAnsi" w:cstheme="majorHAnsi"/>
                <w:rtl w:val="0"/>
                <w:lang w:val="fr" w:eastAsia="nl-NL" w:bidi="nl-NL"/>
              </w:rPr>
              <w:t>Les travailleurs intérimaires peuvent devenir des employés permanents chez Brink's, à moins qu'ils ne soient des travailleurs indépendants.</w:t>
            </w:r>
          </w:p>
        </w:tc>
        <w:tc>
          <w:tcPr>
            <w:tcW w:w="4770" w:type="dxa"/>
          </w:tcPr>
          <w:p w:rsidR="008E318B" w:rsidRPr="00500682" w:rsidP="00E74EF7" w14:paraId="54DFAA38" w14:textId="0A3766F2">
            <w:pPr>
              <w:bidi w:val="0"/>
              <w:jc w:val="both"/>
              <w:rPr>
                <w:rFonts w:eastAsia="Calibri" w:asciiTheme="majorHAnsi" w:hAnsiTheme="majorHAnsi" w:cstheme="majorHAnsi"/>
                <w:lang w:eastAsia="nl-NL" w:bidi="nl-NL"/>
              </w:rPr>
            </w:pPr>
            <w:r w:rsidRPr="006B13F0">
              <w:rPr>
                <w:rFonts w:eastAsia="Calibri" w:asciiTheme="majorHAnsi" w:hAnsiTheme="majorHAnsi" w:cstheme="majorHAnsi"/>
                <w:rtl w:val="0"/>
                <w:lang w:val="fr" w:eastAsia="nl-NL" w:bidi="nl-NL"/>
              </w:rPr>
              <w:t>La Brinks ne peut pas embaucher des consultants de manière permanente à moins qu'ils ne soient prêts à changer d'employeur, ce qui n'est pas interdit par le contrat.</w:t>
            </w:r>
          </w:p>
        </w:tc>
      </w:tr>
      <w:tr w14:paraId="50D49A2F" w14:textId="77777777" w:rsidTr="0051357C">
        <w:tblPrEx>
          <w:tblW w:w="0" w:type="auto"/>
          <w:tblLook w:val="04A0"/>
        </w:tblPrEx>
        <w:tc>
          <w:tcPr>
            <w:tcW w:w="1435" w:type="dxa"/>
          </w:tcPr>
          <w:p w:rsidR="006C341A" w:rsidRPr="00500682" w:rsidP="00E74EF7" w14:paraId="1AE4C179" w14:textId="77777777">
            <w:pPr>
              <w:bidi w:val="0"/>
              <w:rPr>
                <w:rFonts w:eastAsia="Calibri" w:asciiTheme="majorHAnsi" w:hAnsiTheme="majorHAnsi" w:cstheme="majorHAnsi"/>
                <w:b/>
                <w:bCs/>
                <w:lang w:eastAsia="nl-NL" w:bidi="nl-NL"/>
              </w:rPr>
            </w:pPr>
            <w:r w:rsidRPr="00500682">
              <w:rPr>
                <w:rFonts w:eastAsia="Calibri" w:asciiTheme="majorHAnsi" w:hAnsiTheme="majorHAnsi" w:cstheme="majorHAnsi"/>
                <w:b/>
                <w:bCs/>
                <w:rtl w:val="0"/>
                <w:lang w:val="fr" w:eastAsia="nl-NL" w:bidi="nl-NL"/>
              </w:rPr>
              <w:t>Responsabilité</w:t>
            </w:r>
          </w:p>
        </w:tc>
        <w:tc>
          <w:tcPr>
            <w:tcW w:w="4140" w:type="dxa"/>
            <w:shd w:val="clear" w:color="auto" w:fill="auto"/>
          </w:tcPr>
          <w:p w:rsidR="006C341A" w:rsidRPr="00500682" w:rsidP="00E74EF7" w14:paraId="54DEF461" w14:textId="43BDDE7D">
            <w:pPr>
              <w:bidi w:val="0"/>
              <w:jc w:val="both"/>
              <w:rPr>
                <w:rFonts w:eastAsia="Calibri" w:asciiTheme="majorHAnsi" w:hAnsiTheme="majorHAnsi" w:cstheme="majorHAnsi"/>
                <w:lang w:eastAsia="nl-NL" w:bidi="nl-NL"/>
              </w:rPr>
            </w:pPr>
            <w:r w:rsidRPr="00500682">
              <w:rPr>
                <w:rFonts w:eastAsia="Calibri" w:asciiTheme="majorHAnsi" w:hAnsiTheme="majorHAnsi" w:cstheme="majorHAnsi"/>
                <w:rtl w:val="0"/>
                <w:lang w:val="fr" w:eastAsia="nl-NL" w:bidi="nl-NL"/>
              </w:rPr>
              <w:t>Chutes sur Brink's (Brink's est responsable de la livraison et de la qualité du résultat)</w:t>
            </w:r>
          </w:p>
        </w:tc>
        <w:tc>
          <w:tcPr>
            <w:tcW w:w="4770" w:type="dxa"/>
          </w:tcPr>
          <w:p w:rsidR="006C341A" w:rsidRPr="00500682" w:rsidP="00E74EF7" w14:paraId="08521AA3" w14:textId="77777777">
            <w:pPr>
              <w:bidi w:val="0"/>
              <w:jc w:val="both"/>
              <w:rPr>
                <w:rFonts w:eastAsia="Calibri" w:asciiTheme="majorHAnsi" w:hAnsiTheme="majorHAnsi" w:cstheme="majorHAnsi"/>
                <w:lang w:eastAsia="nl-NL" w:bidi="nl-NL"/>
              </w:rPr>
            </w:pPr>
            <w:r w:rsidRPr="00500682">
              <w:rPr>
                <w:rFonts w:eastAsia="Calibri" w:asciiTheme="majorHAnsi" w:hAnsiTheme="majorHAnsi" w:cstheme="majorHAnsi"/>
                <w:rtl w:val="0"/>
                <w:lang w:val="fr" w:eastAsia="nl-NL" w:bidi="nl-NL"/>
              </w:rPr>
              <w:t>incombe au fournisseur (Brink's n'est pas responsable de la livraison et de la qualité du résultat)</w:t>
            </w:r>
          </w:p>
        </w:tc>
      </w:tr>
      <w:tr w14:paraId="0259691B" w14:textId="77777777" w:rsidTr="0051357C">
        <w:tblPrEx>
          <w:tblW w:w="0" w:type="auto"/>
          <w:tblLook w:val="04A0"/>
        </w:tblPrEx>
        <w:tc>
          <w:tcPr>
            <w:tcW w:w="1435" w:type="dxa"/>
          </w:tcPr>
          <w:p w:rsidR="006C341A" w:rsidRPr="00500682" w:rsidP="00E74EF7" w14:paraId="072BD50B" w14:textId="77777777">
            <w:pPr>
              <w:bidi w:val="0"/>
              <w:rPr>
                <w:rFonts w:eastAsia="Calibri" w:asciiTheme="majorHAnsi" w:hAnsiTheme="majorHAnsi" w:cstheme="majorHAnsi"/>
                <w:b/>
                <w:bCs/>
                <w:lang w:eastAsia="nl-NL" w:bidi="nl-NL"/>
              </w:rPr>
            </w:pPr>
            <w:r w:rsidRPr="00500682">
              <w:rPr>
                <w:rFonts w:eastAsia="Calibri" w:asciiTheme="majorHAnsi" w:hAnsiTheme="majorHAnsi" w:cstheme="majorHAnsi"/>
                <w:b/>
                <w:bCs/>
                <w:rtl w:val="0"/>
                <w:lang w:val="fr" w:eastAsia="nl-NL" w:bidi="nl-NL"/>
              </w:rPr>
              <w:t>Exemples</w:t>
            </w:r>
          </w:p>
        </w:tc>
        <w:tc>
          <w:tcPr>
            <w:tcW w:w="4140" w:type="dxa"/>
          </w:tcPr>
          <w:p w:rsidR="006C341A" w:rsidRPr="00500682" w:rsidP="00E74EF7" w14:paraId="3798C3EA" w14:textId="2C5023BD">
            <w:pPr>
              <w:bidi w:val="0"/>
              <w:jc w:val="both"/>
              <w:rPr>
                <w:rFonts w:eastAsia="Calibri" w:asciiTheme="majorHAnsi" w:hAnsiTheme="majorHAnsi" w:cstheme="majorHAnsi"/>
                <w:lang w:eastAsia="nl-NL" w:bidi="nl-NL"/>
              </w:rPr>
            </w:pPr>
            <w:r w:rsidRPr="0074239A">
              <w:rPr>
                <w:rFonts w:eastAsia="Calibri" w:asciiTheme="majorHAnsi" w:hAnsiTheme="majorHAnsi" w:cstheme="majorHAnsi"/>
                <w:rtl w:val="0"/>
                <w:lang w:val="fr" w:eastAsia="nl-NL" w:bidi="nl-NL"/>
              </w:rPr>
              <w:t xml:space="preserve">Brink's recrute un développeur web payé à l'heure sous la supervision directe du responsable du recrutement pour une durée de 5 mois. Le travailleur n'est pas responsable de la qualité de son travail. Étant donné que ce travailleur est placé sous la supervision directe d'un responsable de Brink's, Brink's reste propriétaire de la propriété intellectuelle, mais est également responsable de la qualité du travail. </w:t>
            </w:r>
          </w:p>
        </w:tc>
        <w:tc>
          <w:tcPr>
            <w:tcW w:w="4770" w:type="dxa"/>
          </w:tcPr>
          <w:p w:rsidR="006C341A" w:rsidP="00E74EF7" w14:paraId="3C3BB4E5" w14:textId="533B1C83">
            <w:pPr>
              <w:bidi w:val="0"/>
              <w:jc w:val="both"/>
              <w:rPr>
                <w:rFonts w:eastAsia="Calibri" w:asciiTheme="majorHAnsi" w:hAnsiTheme="majorHAnsi" w:cstheme="majorBidi"/>
                <w:lang w:eastAsia="nl-NL" w:bidi="nl-NL"/>
              </w:rPr>
            </w:pPr>
            <w:r w:rsidRPr="31C84DF2">
              <w:rPr>
                <w:rFonts w:eastAsia="Calibri" w:asciiTheme="majorHAnsi" w:hAnsiTheme="majorHAnsi" w:cstheme="majorBidi"/>
                <w:rtl w:val="0"/>
                <w:lang w:val="fr" w:eastAsia="nl-NL" w:bidi="nl-NL"/>
              </w:rPr>
              <w:t xml:space="preserve">Une entreprise engagée pour livrer un site web pour Brink's dans un délai d'un an. Les spécifications sont clairement définies pour le site web (telles que le contenu, l'UX ou le SEO). Le paiement est effectué à l'achèvement des étapes avec des livrables spécifiques. </w:t>
            </w:r>
          </w:p>
          <w:p w:rsidR="008E318B" w:rsidP="00E74EF7" w14:paraId="26A1B438" w14:textId="77777777">
            <w:pPr>
              <w:jc w:val="both"/>
              <w:rPr>
                <w:rFonts w:eastAsia="Calibri" w:asciiTheme="majorHAnsi" w:hAnsiTheme="majorHAnsi" w:cstheme="majorHAnsi"/>
                <w:lang w:eastAsia="nl-NL" w:bidi="nl-NL"/>
              </w:rPr>
            </w:pPr>
          </w:p>
          <w:p w:rsidR="008E318B" w:rsidRPr="00500682" w:rsidP="00E74EF7" w14:paraId="7AA0B555" w14:textId="77777777">
            <w:pPr>
              <w:jc w:val="both"/>
              <w:rPr>
                <w:rFonts w:eastAsia="Calibri" w:asciiTheme="majorHAnsi" w:hAnsiTheme="majorHAnsi" w:cstheme="majorHAnsi"/>
                <w:lang w:eastAsia="nl-NL" w:bidi="nl-NL"/>
              </w:rPr>
            </w:pPr>
          </w:p>
        </w:tc>
      </w:tr>
    </w:tbl>
    <w:p w:rsidR="006C341A" w:rsidP="006C341A" w14:paraId="00A5E1B2" w14:textId="784400DC">
      <w:pPr>
        <w:bidi w:val="0"/>
        <w:jc w:val="both"/>
        <w:rPr>
          <w:rFonts w:eastAsia="Calibri" w:asciiTheme="majorHAnsi" w:hAnsiTheme="majorHAnsi" w:cstheme="majorHAnsi"/>
          <w:i/>
          <w:iCs/>
          <w:sz w:val="22"/>
          <w:szCs w:val="22"/>
          <w:lang w:eastAsia="nl-NL" w:bidi="nl-NL"/>
        </w:rPr>
      </w:pPr>
      <w:r w:rsidRPr="00500682">
        <w:rPr>
          <w:rFonts w:eastAsia="Calibri" w:asciiTheme="majorHAnsi" w:hAnsiTheme="majorHAnsi" w:cstheme="majorHAnsi"/>
          <w:i/>
          <w:iCs/>
          <w:sz w:val="22"/>
          <w:szCs w:val="22"/>
          <w:rtl w:val="0"/>
          <w:lang w:val="fr" w:eastAsia="nl-NL" w:bidi="nl-NL"/>
        </w:rPr>
        <w:t>* Il pourrait y avoir une situation spécifique dans laquelle une personne est rémunérée à la fois sur la base du temps et du matériel travaillés et sur la base de l'obtention d'au moins un résultat. Dans ce scénario, les ressources respectives seront traitées comme des travailleurs occasionnels (dans les limites du champ d'application), à moins qu'une approbation exceptionnelle ne soit fournie par le partenaire commercial RH local.</w:t>
      </w:r>
    </w:p>
    <w:p w:rsidR="006C341A" w:rsidRPr="0074239A" w:rsidP="006C341A" w14:paraId="76D00981" w14:textId="77777777">
      <w:pPr>
        <w:jc w:val="both"/>
        <w:rPr>
          <w:rFonts w:eastAsia="Calibri" w:asciiTheme="majorHAnsi" w:hAnsiTheme="majorHAnsi" w:cstheme="majorHAnsi"/>
          <w:b/>
          <w:bCs/>
          <w:sz w:val="22"/>
          <w:szCs w:val="22"/>
          <w:lang w:eastAsia="nl-NL" w:bidi="nl-NL"/>
        </w:rPr>
      </w:pPr>
      <w:bookmarkStart w:id="16" w:name="_Toc64992947"/>
    </w:p>
    <w:bookmarkEnd w:id="16"/>
    <w:p w:rsidR="00005666" w:rsidP="00005666" w14:paraId="1BFF01C5" w14:textId="77777777">
      <w:pPr>
        <w:bidi w:val="0"/>
        <w:spacing w:line="259" w:lineRule="auto"/>
        <w:jc w:val="both"/>
        <w:rPr>
          <w:rFonts w:asciiTheme="majorHAnsi" w:hAnsiTheme="majorHAnsi" w:cstheme="majorBidi"/>
          <w:b/>
          <w:bCs/>
          <w:sz w:val="22"/>
          <w:szCs w:val="22"/>
          <w:lang w:eastAsia="nl-NL" w:bidi="nl-NL"/>
        </w:rPr>
      </w:pPr>
      <w:r w:rsidRPr="0051357C">
        <w:rPr>
          <w:rFonts w:asciiTheme="majorHAnsi" w:hAnsiTheme="majorHAnsi" w:cstheme="majorBidi"/>
          <w:b/>
          <w:bCs/>
          <w:sz w:val="22"/>
          <w:szCs w:val="22"/>
          <w:rtl w:val="0"/>
          <w:lang w:val="fr" w:eastAsia="nl-NL" w:bidi="nl-NL"/>
        </w:rPr>
        <w:t>Pour les services de conseil, veuillez vous référer à la politique globale en matière de services professionnels.</w:t>
      </w:r>
    </w:p>
    <w:p w:rsidR="004E6945" w:rsidRPr="00852C02" w:rsidP="00005666" w14:paraId="48C13321" w14:textId="3666ACC6">
      <w:pPr>
        <w:pStyle w:val="Heading1"/>
        <w:bidi w:val="0"/>
        <w:rPr>
          <w:rFonts w:eastAsia="Calibri"/>
          <w:color w:val="auto"/>
          <w:lang w:eastAsia="nl-NL" w:bidi="nl-NL"/>
        </w:rPr>
      </w:pPr>
      <w:bookmarkStart w:id="17" w:name="_Toc256000012"/>
      <w:r w:rsidRPr="00852C02">
        <w:rPr>
          <w:color w:val="auto"/>
          <w:rtl w:val="0"/>
          <w:lang w:val="fr"/>
        </w:rPr>
        <w:t>RÈGLES POUR L'ENGAGEMENT DE TRAVAILLEURS OCCASIONNELS</w:t>
      </w:r>
      <w:bookmarkEnd w:id="17"/>
    </w:p>
    <w:p w:rsidR="003A6BF9" w:rsidRPr="00D91457" w:rsidP="0051357C" w14:paraId="79464173" w14:textId="43BEC508">
      <w:pPr>
        <w:pStyle w:val="Heading2"/>
        <w:bidi w:val="0"/>
        <w:ind w:left="360"/>
        <w:rPr>
          <w:sz w:val="22"/>
          <w:szCs w:val="22"/>
        </w:rPr>
      </w:pPr>
      <w:bookmarkStart w:id="18" w:name="_Toc256000013"/>
      <w:r w:rsidRPr="3766A6B7">
        <w:rPr>
          <w:color w:val="auto"/>
          <w:sz w:val="22"/>
          <w:szCs w:val="22"/>
          <w:rtl w:val="0"/>
          <w:lang w:val="fr"/>
        </w:rPr>
        <w:t>Processus décisionnel global</w:t>
      </w:r>
      <w:bookmarkEnd w:id="18"/>
      <w:bookmarkStart w:id="19" w:name="_Toc179490785"/>
      <w:bookmarkStart w:id="20" w:name="_Toc179490891"/>
      <w:bookmarkStart w:id="21" w:name="_Toc179490963"/>
      <w:bookmarkStart w:id="22" w:name="_Toc179491278"/>
      <w:bookmarkStart w:id="23" w:name="_Toc179491319"/>
      <w:bookmarkStart w:id="24" w:name="_Toc179492945"/>
      <w:bookmarkStart w:id="25" w:name="_Toc179490892"/>
      <w:bookmarkStart w:id="26" w:name="_Toc179491320"/>
      <w:bookmarkStart w:id="27" w:name="_Toc179492946"/>
      <w:bookmarkEnd w:id="19"/>
      <w:bookmarkEnd w:id="20"/>
      <w:bookmarkEnd w:id="21"/>
      <w:bookmarkEnd w:id="22"/>
      <w:bookmarkEnd w:id="23"/>
      <w:bookmarkEnd w:id="24"/>
      <w:bookmarkEnd w:id="25"/>
      <w:bookmarkEnd w:id="26"/>
      <w:bookmarkEnd w:id="27"/>
    </w:p>
    <w:p w:rsidR="009872EC" w:rsidP="003A6BF9" w14:paraId="3EEAE3FB" w14:textId="54D4FF06">
      <w:pPr>
        <w:bidi w:val="0"/>
        <w:rPr>
          <w:rFonts w:asciiTheme="majorHAnsi" w:hAnsiTheme="majorHAnsi" w:cstheme="majorBidi"/>
          <w:sz w:val="22"/>
          <w:szCs w:val="22"/>
        </w:rPr>
      </w:pPr>
      <w:r w:rsidRPr="0051357C">
        <w:rPr>
          <w:rFonts w:asciiTheme="majorHAnsi" w:hAnsiTheme="majorHAnsi" w:cstheme="majorBidi"/>
          <w:sz w:val="22"/>
          <w:szCs w:val="22"/>
          <w:rtl w:val="0"/>
          <w:lang w:val="fr"/>
        </w:rPr>
        <w:t>Le processus décisionnel ci-dessous est utilisé lorsqu'un besoin de travailleur intérimaire est identifié :</w:t>
      </w:r>
    </w:p>
    <w:p w:rsidR="003A3A91" w:rsidP="003A6BF9" w14:paraId="2F23029A" w14:textId="0A35833C">
      <w:pPr>
        <w:rPr>
          <w:rFonts w:asciiTheme="majorHAnsi" w:hAnsiTheme="majorHAnsi" w:cstheme="majorBidi"/>
          <w:sz w:val="22"/>
          <w:szCs w:val="22"/>
        </w:rPr>
      </w:pPr>
      <w:r w:rsidRPr="00134918">
        <w:rPr>
          <w:rFonts w:asciiTheme="majorHAnsi" w:hAnsiTheme="majorHAnsi" w:cstheme="majorBidi"/>
          <w:noProof/>
          <w:sz w:val="22"/>
          <w:szCs w:val="22"/>
        </w:rPr>
        <w:drawing>
          <wp:anchor distT="0" distB="0" distL="114300" distR="114300" simplePos="0" relativeHeight="251658240" behindDoc="0" locked="0" layoutInCell="1" allowOverlap="1">
            <wp:simplePos x="0" y="0"/>
            <wp:positionH relativeFrom="margin">
              <wp:align>center</wp:align>
            </wp:positionH>
            <wp:positionV relativeFrom="paragraph">
              <wp:posOffset>193040</wp:posOffset>
            </wp:positionV>
            <wp:extent cx="6332855" cy="3644900"/>
            <wp:effectExtent l="0" t="0" r="0" b="0"/>
            <wp:wrapTopAndBottom/>
            <wp:docPr id="702144835"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741953" name="Picture 1" descr="A diagram of a company&#10;&#10;Description automatically generated"/>
                    <pic:cNvPicPr/>
                  </pic:nvPicPr>
                  <pic:blipFill>
                    <a:blip xmlns:r="http://schemas.openxmlformats.org/officeDocument/2006/relationships" r:embed="rId8"/>
                    <a:stretch>
                      <a:fillRect/>
                    </a:stretch>
                  </pic:blipFill>
                  <pic:spPr>
                    <a:xfrm>
                      <a:off x="0" y="0"/>
                      <a:ext cx="6332855" cy="3644900"/>
                    </a:xfrm>
                    <a:prstGeom prst="rect">
                      <a:avLst/>
                    </a:prstGeom>
                  </pic:spPr>
                </pic:pic>
              </a:graphicData>
            </a:graphic>
            <wp14:sizeRelH relativeFrom="margin">
              <wp14:pctWidth>0</wp14:pctWidth>
            </wp14:sizeRelH>
            <wp14:sizeRelV relativeFrom="margin">
              <wp14:pctHeight>0</wp14:pctHeight>
            </wp14:sizeRelV>
          </wp:anchor>
        </w:drawing>
      </w:r>
    </w:p>
    <w:p w:rsidR="009872EC" w:rsidP="009872EC" w14:paraId="219FCB6D" w14:textId="545292BB"/>
    <w:p w:rsidR="009872EC" w:rsidRPr="0051357C" w:rsidP="0051357C" w14:paraId="261D3E7C" w14:textId="77777777"/>
    <w:p w:rsidR="002D03F2" w:rsidP="002D03F2" w14:paraId="783A7951" w14:textId="3C628143">
      <w:pPr>
        <w:pStyle w:val="Heading2"/>
        <w:bidi w:val="0"/>
        <w:ind w:left="360"/>
        <w:rPr>
          <w:color w:val="auto"/>
          <w:sz w:val="22"/>
          <w:szCs w:val="22"/>
        </w:rPr>
      </w:pPr>
      <w:bookmarkStart w:id="28" w:name="_Toc256000014"/>
      <w:r w:rsidRPr="0051357C">
        <w:rPr>
          <w:color w:val="auto"/>
          <w:sz w:val="22"/>
          <w:szCs w:val="22"/>
          <w:rtl w:val="0"/>
          <w:lang w:val="fr"/>
        </w:rPr>
        <w:t>Liste mondiale des fournisseurs privilégiés</w:t>
      </w:r>
      <w:bookmarkEnd w:id="28"/>
    </w:p>
    <w:p w:rsidR="002D03F2" w:rsidRPr="0051357C" w:rsidP="0051357C" w14:paraId="4B14034A" w14:textId="45E5A4C6"/>
    <w:p w:rsidR="002D03F2" w:rsidRPr="0074239A" w:rsidP="002D03F2" w14:paraId="515A07E4" w14:textId="1608A89F">
      <w:pPr>
        <w:bidi w:val="0"/>
        <w:ind w:left="360"/>
        <w:rPr>
          <w:rFonts w:eastAsia="SimHei" w:asciiTheme="majorHAnsi" w:hAnsiTheme="majorHAnsi" w:cstheme="majorBidi"/>
          <w:sz w:val="22"/>
          <w:szCs w:val="22"/>
        </w:rPr>
      </w:pPr>
      <w:r w:rsidRPr="3766A6B7">
        <w:rPr>
          <w:rFonts w:eastAsia="SimHei" w:asciiTheme="majorHAnsi" w:hAnsiTheme="majorHAnsi" w:cstheme="majorBidi"/>
          <w:sz w:val="22"/>
          <w:szCs w:val="22"/>
          <w:rtl w:val="0"/>
          <w:lang w:val="fr"/>
        </w:rPr>
        <w:t xml:space="preserve">Au </w:t>
      </w:r>
      <w:r w:rsidRPr="0051357C">
        <w:rPr>
          <w:rFonts w:eastAsia="SimHei" w:asciiTheme="majorHAnsi" w:hAnsiTheme="majorHAnsi" w:cstheme="majorBidi"/>
          <w:sz w:val="22"/>
          <w:szCs w:val="22"/>
          <w:vertAlign w:val="superscript"/>
          <w:rtl w:val="0"/>
          <w:lang w:val="fr"/>
        </w:rPr>
        <w:t>1er</w:t>
      </w:r>
      <w:r w:rsidRPr="3766A6B7">
        <w:rPr>
          <w:rFonts w:eastAsia="SimHei" w:asciiTheme="majorHAnsi" w:hAnsiTheme="majorHAnsi" w:cstheme="majorBidi"/>
          <w:sz w:val="22"/>
          <w:szCs w:val="22"/>
          <w:rtl w:val="0"/>
          <w:lang w:val="fr"/>
        </w:rPr>
        <w:t xml:space="preserve"> novembre 2024, Brink's aura deux fournisseurs privilégiés au niveau mondial - Robert Half et Adecco. Ces fournisseurs doivent être prioritaires pour tous les besoins en travailleurs intérimaires. </w:t>
      </w:r>
    </w:p>
    <w:p w:rsidR="002D03F2" w:rsidRPr="0074239A" w:rsidP="002D03F2" w14:paraId="05ED95F7" w14:textId="77777777">
      <w:pPr>
        <w:rPr>
          <w:rFonts w:eastAsia="SimHei" w:asciiTheme="majorHAnsi" w:hAnsiTheme="majorHAnsi" w:cstheme="majorBidi"/>
          <w:sz w:val="22"/>
          <w:szCs w:val="22"/>
        </w:rPr>
      </w:pPr>
    </w:p>
    <w:tbl>
      <w:tblPr>
        <w:tblW w:w="10142" w:type="dxa"/>
        <w:tblInd w:w="113" w:type="dxa"/>
        <w:tblLook w:val="04A0"/>
      </w:tblPr>
      <w:tblGrid>
        <w:gridCol w:w="400"/>
        <w:gridCol w:w="2925"/>
        <w:gridCol w:w="3397"/>
        <w:gridCol w:w="3420"/>
      </w:tblGrid>
      <w:tr w14:paraId="22937E75" w14:textId="77777777" w:rsidTr="6B3824FD">
        <w:tblPrEx>
          <w:tblW w:w="10142" w:type="dxa"/>
          <w:tblInd w:w="113" w:type="dxa"/>
          <w:tblLook w:val="04A0"/>
        </w:tblPrEx>
        <w:trPr>
          <w:trHeight w:val="310"/>
        </w:trPr>
        <w:tc>
          <w:tcPr>
            <w:tcW w:w="400" w:type="dxa"/>
            <w:tcBorders>
              <w:top w:val="single" w:sz="4" w:space="0" w:color="auto"/>
              <w:left w:val="single" w:sz="4" w:space="0" w:color="auto"/>
              <w:bottom w:val="single" w:sz="4" w:space="0" w:color="auto"/>
              <w:right w:val="single" w:sz="4" w:space="0" w:color="auto"/>
            </w:tcBorders>
            <w:shd w:val="clear" w:color="auto" w:fill="BCD3EE"/>
            <w:noWrap/>
            <w:vAlign w:val="bottom"/>
            <w:hideMark/>
          </w:tcPr>
          <w:p w:rsidR="002D03F2" w:rsidRPr="00D030C9" w:rsidP="00E74EF7" w14:paraId="069ED9EF" w14:textId="77777777">
            <w:pPr>
              <w:bidi w:val="0"/>
              <w:jc w:val="center"/>
              <w:rPr>
                <w:rFonts w:asciiTheme="majorHAnsi" w:hAnsiTheme="majorHAnsi" w:cstheme="majorBidi"/>
                <w:b/>
                <w:sz w:val="22"/>
                <w:szCs w:val="22"/>
              </w:rPr>
            </w:pPr>
            <w:r w:rsidRPr="00D030C9">
              <w:rPr>
                <w:rFonts w:asciiTheme="majorHAnsi" w:hAnsiTheme="majorHAnsi" w:cstheme="majorBidi"/>
                <w:b/>
                <w:sz w:val="22"/>
                <w:szCs w:val="22"/>
                <w:rtl w:val="0"/>
                <w:lang w:val="fr"/>
              </w:rPr>
              <w:t>#</w:t>
            </w:r>
          </w:p>
        </w:tc>
        <w:tc>
          <w:tcPr>
            <w:tcW w:w="2925" w:type="dxa"/>
            <w:tcBorders>
              <w:top w:val="single" w:sz="4" w:space="0" w:color="auto"/>
              <w:left w:val="nil"/>
              <w:bottom w:val="single" w:sz="4" w:space="0" w:color="auto"/>
              <w:right w:val="single" w:sz="4" w:space="0" w:color="auto"/>
            </w:tcBorders>
            <w:shd w:val="clear" w:color="auto" w:fill="BCD3EE"/>
            <w:noWrap/>
            <w:vAlign w:val="bottom"/>
            <w:hideMark/>
          </w:tcPr>
          <w:p w:rsidR="002D03F2" w:rsidRPr="00D030C9" w:rsidP="00E74EF7" w14:paraId="171B57F4" w14:textId="77777777">
            <w:pPr>
              <w:bidi w:val="0"/>
              <w:jc w:val="center"/>
              <w:rPr>
                <w:rFonts w:asciiTheme="majorHAnsi" w:hAnsiTheme="majorHAnsi" w:cstheme="majorBidi"/>
                <w:b/>
                <w:sz w:val="22"/>
                <w:szCs w:val="22"/>
              </w:rPr>
            </w:pPr>
            <w:r w:rsidRPr="00D030C9">
              <w:rPr>
                <w:rFonts w:asciiTheme="majorHAnsi" w:hAnsiTheme="majorHAnsi" w:cstheme="majorBidi"/>
                <w:b/>
                <w:sz w:val="22"/>
                <w:szCs w:val="22"/>
                <w:rtl w:val="0"/>
                <w:lang w:val="fr"/>
              </w:rPr>
              <w:t>Nom du fournisseur</w:t>
            </w:r>
          </w:p>
        </w:tc>
        <w:tc>
          <w:tcPr>
            <w:tcW w:w="3397" w:type="dxa"/>
            <w:tcBorders>
              <w:top w:val="single" w:sz="4" w:space="0" w:color="auto"/>
              <w:left w:val="nil"/>
              <w:bottom w:val="single" w:sz="4" w:space="0" w:color="auto"/>
              <w:right w:val="single" w:sz="4" w:space="0" w:color="auto"/>
            </w:tcBorders>
            <w:shd w:val="clear" w:color="auto" w:fill="BCD3EE"/>
            <w:noWrap/>
            <w:vAlign w:val="bottom"/>
            <w:hideMark/>
          </w:tcPr>
          <w:p w:rsidR="002D03F2" w:rsidRPr="00D030C9" w:rsidP="00E74EF7" w14:paraId="0F09F2FA" w14:textId="77777777">
            <w:pPr>
              <w:bidi w:val="0"/>
              <w:jc w:val="center"/>
              <w:rPr>
                <w:rFonts w:asciiTheme="majorHAnsi" w:hAnsiTheme="majorHAnsi" w:cstheme="majorBidi"/>
                <w:b/>
                <w:sz w:val="22"/>
                <w:szCs w:val="22"/>
              </w:rPr>
            </w:pPr>
            <w:r w:rsidRPr="00D030C9">
              <w:rPr>
                <w:rFonts w:asciiTheme="majorHAnsi" w:hAnsiTheme="majorHAnsi" w:cstheme="majorBidi"/>
                <w:b/>
                <w:sz w:val="22"/>
                <w:szCs w:val="22"/>
                <w:rtl w:val="0"/>
                <w:lang w:val="fr"/>
              </w:rPr>
              <w:t>Nom du POC</w:t>
            </w:r>
          </w:p>
        </w:tc>
        <w:tc>
          <w:tcPr>
            <w:tcW w:w="3420" w:type="dxa"/>
            <w:tcBorders>
              <w:top w:val="single" w:sz="4" w:space="0" w:color="auto"/>
              <w:left w:val="nil"/>
              <w:bottom w:val="single" w:sz="4" w:space="0" w:color="auto"/>
              <w:right w:val="single" w:sz="4" w:space="0" w:color="auto"/>
            </w:tcBorders>
            <w:shd w:val="clear" w:color="auto" w:fill="BCD3EE"/>
            <w:noWrap/>
            <w:vAlign w:val="bottom"/>
            <w:hideMark/>
          </w:tcPr>
          <w:p w:rsidR="002D03F2" w:rsidRPr="00D030C9" w:rsidP="00E74EF7" w14:paraId="0BBB114D" w14:textId="77777777">
            <w:pPr>
              <w:bidi w:val="0"/>
              <w:jc w:val="center"/>
              <w:rPr>
                <w:rFonts w:asciiTheme="majorHAnsi" w:hAnsiTheme="majorHAnsi" w:cstheme="majorBidi"/>
                <w:b/>
                <w:sz w:val="22"/>
                <w:szCs w:val="22"/>
              </w:rPr>
            </w:pPr>
            <w:r w:rsidRPr="00D030C9">
              <w:rPr>
                <w:rFonts w:asciiTheme="majorHAnsi" w:hAnsiTheme="majorHAnsi" w:cstheme="majorBidi"/>
                <w:b/>
                <w:sz w:val="22"/>
                <w:szCs w:val="22"/>
                <w:rtl w:val="0"/>
                <w:lang w:val="fr"/>
              </w:rPr>
              <w:t>Courrier électronique du CEP</w:t>
            </w:r>
          </w:p>
        </w:tc>
      </w:tr>
      <w:tr w14:paraId="31D69D5C" w14:textId="77777777" w:rsidTr="6B3824FD">
        <w:tblPrEx>
          <w:tblW w:w="10142" w:type="dxa"/>
          <w:tblInd w:w="113" w:type="dxa"/>
          <w:tblLook w:val="04A0"/>
        </w:tblPrEx>
        <w:trPr>
          <w:trHeight w:val="31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2D03F2" w:rsidRPr="0074239A" w:rsidP="00E74EF7" w14:paraId="0F670CEC" w14:textId="77777777">
            <w:pPr>
              <w:bidi w:val="0"/>
              <w:jc w:val="center"/>
              <w:rPr>
                <w:rFonts w:asciiTheme="majorHAnsi" w:hAnsiTheme="majorHAnsi" w:cstheme="majorBidi"/>
                <w:color w:val="000000"/>
                <w:sz w:val="22"/>
                <w:szCs w:val="22"/>
              </w:rPr>
            </w:pPr>
            <w:r w:rsidRPr="3766A6B7">
              <w:rPr>
                <w:rFonts w:asciiTheme="majorHAnsi" w:hAnsiTheme="majorHAnsi" w:cstheme="majorBidi"/>
                <w:color w:val="000000" w:themeColor="text1"/>
                <w:sz w:val="22"/>
                <w:szCs w:val="22"/>
                <w:rtl w:val="0"/>
                <w:lang w:val="fr"/>
              </w:rPr>
              <w:t>1</w:t>
            </w:r>
          </w:p>
        </w:tc>
        <w:tc>
          <w:tcPr>
            <w:tcW w:w="2925" w:type="dxa"/>
            <w:tcBorders>
              <w:top w:val="nil"/>
              <w:left w:val="nil"/>
              <w:bottom w:val="single" w:sz="4" w:space="0" w:color="auto"/>
              <w:right w:val="single" w:sz="4" w:space="0" w:color="auto"/>
            </w:tcBorders>
            <w:shd w:val="clear" w:color="auto" w:fill="auto"/>
            <w:noWrap/>
            <w:vAlign w:val="bottom"/>
            <w:hideMark/>
          </w:tcPr>
          <w:p w:rsidR="002D03F2" w:rsidRPr="0074239A" w:rsidP="00E74EF7" w14:paraId="7F6778F8" w14:textId="6EDF7CA3">
            <w:pPr>
              <w:bidi w:val="0"/>
              <w:jc w:val="center"/>
              <w:rPr>
                <w:rFonts w:asciiTheme="majorHAnsi" w:hAnsiTheme="majorHAnsi" w:cstheme="majorBidi"/>
                <w:color w:val="000000"/>
                <w:sz w:val="22"/>
                <w:szCs w:val="22"/>
              </w:rPr>
            </w:pPr>
            <w:r w:rsidRPr="3766A6B7">
              <w:rPr>
                <w:rFonts w:asciiTheme="majorHAnsi" w:hAnsiTheme="majorHAnsi" w:cstheme="majorBidi"/>
                <w:color w:val="000000" w:themeColor="text1"/>
                <w:sz w:val="22"/>
                <w:szCs w:val="22"/>
                <w:rtl w:val="0"/>
                <w:lang w:val="fr"/>
              </w:rPr>
              <w:t>Groupe Adecco</w:t>
            </w:r>
          </w:p>
        </w:tc>
        <w:tc>
          <w:tcPr>
            <w:tcW w:w="3397" w:type="dxa"/>
            <w:tcBorders>
              <w:top w:val="nil"/>
              <w:left w:val="nil"/>
              <w:bottom w:val="single" w:sz="4" w:space="0" w:color="auto"/>
              <w:right w:val="single" w:sz="4" w:space="0" w:color="auto"/>
            </w:tcBorders>
            <w:shd w:val="clear" w:color="auto" w:fill="auto"/>
            <w:noWrap/>
            <w:vAlign w:val="bottom"/>
            <w:hideMark/>
          </w:tcPr>
          <w:p w:rsidR="002D03F2" w:rsidRPr="0074239A" w:rsidP="00E96AF9" w14:paraId="3F98CDFC" w14:textId="70240C46">
            <w:pPr>
              <w:bidi w:val="0"/>
              <w:jc w:val="center"/>
              <w:rPr>
                <w:rFonts w:asciiTheme="majorHAnsi" w:hAnsiTheme="majorHAnsi" w:cstheme="majorBidi"/>
                <w:color w:val="000000"/>
                <w:sz w:val="22"/>
                <w:szCs w:val="22"/>
              </w:rPr>
            </w:pPr>
            <w:r w:rsidRPr="0028735B">
              <w:rPr>
                <w:rFonts w:asciiTheme="majorHAnsi" w:hAnsiTheme="majorHAnsi" w:cstheme="majorBidi"/>
                <w:color w:val="000000"/>
                <w:sz w:val="22"/>
                <w:szCs w:val="22"/>
                <w:rtl w:val="0"/>
                <w:lang w:val="fr"/>
              </w:rPr>
              <w:t>Jeney James</w:t>
            </w:r>
          </w:p>
        </w:tc>
        <w:tc>
          <w:tcPr>
            <w:tcW w:w="3420" w:type="dxa"/>
            <w:tcBorders>
              <w:top w:val="nil"/>
              <w:left w:val="nil"/>
              <w:bottom w:val="single" w:sz="4" w:space="0" w:color="auto"/>
              <w:right w:val="single" w:sz="4" w:space="0" w:color="auto"/>
            </w:tcBorders>
            <w:shd w:val="clear" w:color="auto" w:fill="auto"/>
            <w:noWrap/>
            <w:vAlign w:val="bottom"/>
            <w:hideMark/>
          </w:tcPr>
          <w:p w:rsidR="002D03F2" w:rsidRPr="0074239A" w:rsidP="00E74EF7" w14:paraId="64231B2E" w14:textId="08F9985B">
            <w:pPr>
              <w:bidi w:val="0"/>
              <w:rPr>
                <w:rFonts w:asciiTheme="majorHAnsi" w:hAnsiTheme="majorHAnsi" w:cstheme="majorBidi"/>
                <w:color w:val="000000"/>
                <w:sz w:val="22"/>
                <w:szCs w:val="22"/>
              </w:rPr>
            </w:pPr>
            <w:r w:rsidRPr="0028735B">
              <w:rPr>
                <w:rFonts w:asciiTheme="majorHAnsi" w:hAnsiTheme="majorHAnsi" w:cstheme="majorBidi"/>
                <w:color w:val="000000"/>
                <w:sz w:val="22"/>
                <w:szCs w:val="22"/>
                <w:rtl w:val="0"/>
                <w:lang w:val="fr"/>
              </w:rPr>
              <w:t>Jeney.James@adeccona.com</w:t>
            </w:r>
          </w:p>
        </w:tc>
      </w:tr>
      <w:tr w14:paraId="400FB1F3" w14:textId="77777777" w:rsidTr="6B3824FD">
        <w:tblPrEx>
          <w:tblW w:w="10142" w:type="dxa"/>
          <w:tblInd w:w="113" w:type="dxa"/>
          <w:tblLook w:val="04A0"/>
        </w:tblPrEx>
        <w:trPr>
          <w:trHeight w:val="31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2D03F2" w:rsidRPr="0074239A" w:rsidP="00E74EF7" w14:paraId="115FB09C" w14:textId="77777777">
            <w:pPr>
              <w:bidi w:val="0"/>
              <w:jc w:val="center"/>
              <w:rPr>
                <w:rFonts w:asciiTheme="majorHAnsi" w:hAnsiTheme="majorHAnsi" w:cstheme="majorBidi"/>
                <w:color w:val="000000"/>
                <w:sz w:val="22"/>
                <w:szCs w:val="22"/>
              </w:rPr>
            </w:pPr>
            <w:r w:rsidRPr="3766A6B7">
              <w:rPr>
                <w:rFonts w:asciiTheme="majorHAnsi" w:hAnsiTheme="majorHAnsi" w:cstheme="majorBidi"/>
                <w:color w:val="000000" w:themeColor="text1"/>
                <w:sz w:val="22"/>
                <w:szCs w:val="22"/>
                <w:rtl w:val="0"/>
                <w:lang w:val="fr"/>
              </w:rPr>
              <w:t>2</w:t>
            </w:r>
          </w:p>
        </w:tc>
        <w:tc>
          <w:tcPr>
            <w:tcW w:w="2925" w:type="dxa"/>
            <w:tcBorders>
              <w:top w:val="nil"/>
              <w:left w:val="nil"/>
              <w:bottom w:val="single" w:sz="4" w:space="0" w:color="auto"/>
              <w:right w:val="single" w:sz="4" w:space="0" w:color="auto"/>
            </w:tcBorders>
            <w:shd w:val="clear" w:color="auto" w:fill="auto"/>
            <w:noWrap/>
            <w:vAlign w:val="bottom"/>
            <w:hideMark/>
          </w:tcPr>
          <w:p w:rsidR="002D03F2" w:rsidRPr="0074239A" w:rsidP="6B3824FD" w14:paraId="1F071083" w14:textId="77777777">
            <w:pPr>
              <w:bidi w:val="0"/>
              <w:jc w:val="center"/>
              <w:rPr>
                <w:rFonts w:asciiTheme="majorHAnsi" w:hAnsiTheme="majorHAnsi" w:cstheme="majorBidi"/>
                <w:color w:val="000000"/>
                <w:sz w:val="22"/>
                <w:szCs w:val="22"/>
              </w:rPr>
            </w:pPr>
            <w:r w:rsidRPr="6B3824FD">
              <w:rPr>
                <w:rFonts w:asciiTheme="majorHAnsi" w:hAnsiTheme="majorHAnsi" w:cstheme="majorBidi"/>
                <w:color w:val="000000" w:themeColor="text1"/>
                <w:sz w:val="22"/>
                <w:szCs w:val="22"/>
                <w:rtl w:val="0"/>
                <w:lang w:val="fr"/>
              </w:rPr>
              <w:t>Robert Half</w:t>
            </w:r>
          </w:p>
        </w:tc>
        <w:tc>
          <w:tcPr>
            <w:tcW w:w="3397" w:type="dxa"/>
            <w:tcBorders>
              <w:top w:val="nil"/>
              <w:left w:val="nil"/>
              <w:bottom w:val="single" w:sz="4" w:space="0" w:color="auto"/>
              <w:right w:val="single" w:sz="4" w:space="0" w:color="auto"/>
            </w:tcBorders>
            <w:shd w:val="clear" w:color="auto" w:fill="auto"/>
            <w:noWrap/>
            <w:vAlign w:val="bottom"/>
            <w:hideMark/>
          </w:tcPr>
          <w:p w:rsidR="002D03F2" w:rsidRPr="0074239A" w:rsidP="0051357C" w14:paraId="6D114223" w14:textId="58728861">
            <w:pPr>
              <w:bidi w:val="0"/>
              <w:jc w:val="center"/>
              <w:rPr>
                <w:rFonts w:asciiTheme="majorHAnsi" w:hAnsiTheme="majorHAnsi" w:cstheme="majorBidi"/>
                <w:color w:val="000000"/>
                <w:sz w:val="22"/>
                <w:szCs w:val="22"/>
              </w:rPr>
            </w:pPr>
            <w:r>
              <w:rPr>
                <w:rFonts w:asciiTheme="majorHAnsi" w:hAnsiTheme="majorHAnsi" w:cstheme="majorBidi"/>
                <w:color w:val="000000"/>
                <w:sz w:val="22"/>
                <w:szCs w:val="22"/>
                <w:rtl w:val="0"/>
                <w:lang w:val="fr"/>
              </w:rPr>
              <w:t>Jenifer Mauney</w:t>
            </w:r>
          </w:p>
        </w:tc>
        <w:tc>
          <w:tcPr>
            <w:tcW w:w="3420" w:type="dxa"/>
            <w:tcBorders>
              <w:top w:val="nil"/>
              <w:left w:val="nil"/>
              <w:bottom w:val="single" w:sz="4" w:space="0" w:color="auto"/>
              <w:right w:val="single" w:sz="4" w:space="0" w:color="auto"/>
            </w:tcBorders>
            <w:shd w:val="clear" w:color="auto" w:fill="auto"/>
            <w:noWrap/>
            <w:vAlign w:val="bottom"/>
            <w:hideMark/>
          </w:tcPr>
          <w:p w:rsidR="002D03F2" w:rsidRPr="0074239A" w:rsidP="6B3824FD" w14:paraId="4A231CAB" w14:textId="6F529129">
            <w:pPr>
              <w:bidi w:val="0"/>
              <w:rPr>
                <w:rFonts w:asciiTheme="majorHAnsi" w:hAnsiTheme="majorHAnsi" w:cstheme="majorBidi"/>
                <w:color w:val="000000"/>
                <w:sz w:val="22"/>
                <w:szCs w:val="22"/>
              </w:rPr>
            </w:pPr>
            <w:r w:rsidRPr="6B3824FD">
              <w:rPr>
                <w:rFonts w:asciiTheme="majorHAnsi" w:hAnsiTheme="majorHAnsi" w:cstheme="majorBidi"/>
                <w:color w:val="000000" w:themeColor="text1"/>
                <w:sz w:val="22"/>
                <w:szCs w:val="22"/>
                <w:rtl w:val="0"/>
                <w:lang w:val="fr"/>
              </w:rPr>
              <w:t>jenifer.mauney@roberthalf.com</w:t>
            </w:r>
          </w:p>
        </w:tc>
      </w:tr>
    </w:tbl>
    <w:p w:rsidR="004A4C3B" w:rsidP="004A4C3B" w14:paraId="0D60E802" w14:textId="77777777"/>
    <w:p w:rsidR="003A1B39" w:rsidP="0051357C" w14:paraId="7B687A39" w14:textId="5BB2D3F3">
      <w:pPr>
        <w:bidi w:val="0"/>
        <w:ind w:left="360"/>
        <w:rPr>
          <w:rFonts w:eastAsia="SimHei" w:asciiTheme="majorHAnsi" w:hAnsiTheme="majorHAnsi" w:cstheme="majorBidi"/>
          <w:sz w:val="22"/>
          <w:szCs w:val="22"/>
        </w:rPr>
      </w:pPr>
      <w:r w:rsidRPr="3766A6B7">
        <w:rPr>
          <w:rFonts w:eastAsia="SimHei" w:asciiTheme="majorHAnsi" w:hAnsiTheme="majorHAnsi" w:cstheme="majorBidi"/>
          <w:sz w:val="22"/>
          <w:szCs w:val="22"/>
          <w:rtl w:val="0"/>
          <w:lang w:val="fr"/>
        </w:rPr>
        <w:t>Si aucun des fournisseurs énumérés ci-dessus n'est en mesure de répondre à un besoin spécifique, il convient de consulter le service des achats stratégiques afin d'explorer d'autres options.</w:t>
      </w:r>
    </w:p>
    <w:p w:rsidR="00AB0BFF" w:rsidP="0051357C" w14:paraId="6B94AC95" w14:textId="77777777">
      <w:pPr>
        <w:ind w:left="360"/>
        <w:rPr>
          <w:rFonts w:eastAsia="SimHei" w:asciiTheme="majorHAnsi" w:hAnsiTheme="majorHAnsi" w:cstheme="majorBidi"/>
          <w:sz w:val="22"/>
          <w:szCs w:val="22"/>
        </w:rPr>
      </w:pPr>
    </w:p>
    <w:p w:rsidR="008E0A00" w:rsidRPr="00A535B7" w:rsidP="004E717E" w14:paraId="3C280C95" w14:textId="79C35168">
      <w:pPr>
        <w:bidi w:val="0"/>
        <w:ind w:left="360"/>
        <w:jc w:val="both"/>
        <w:rPr>
          <w:rFonts w:eastAsia="SimHei"/>
          <w:b/>
          <w:bCs/>
          <w:sz w:val="22"/>
          <w:szCs w:val="22"/>
        </w:rPr>
      </w:pPr>
      <w:r w:rsidRPr="004E717E">
        <w:rPr>
          <w:rFonts w:eastAsia="SimHei" w:asciiTheme="majorHAnsi" w:hAnsiTheme="majorHAnsi" w:cstheme="majorBidi"/>
          <w:sz w:val="22"/>
          <w:szCs w:val="22"/>
          <w:rtl w:val="0"/>
          <w:lang w:val="fr"/>
        </w:rPr>
        <w:t>Des contrats locaux et des cartes de tarifs ont été négociés pour les États-Unis, la France et les Pays-Bas. Pour les autres pays, veuillez contacter votre équipe locale d'approvisionnement stratégique afin qu'elle vous aide à mettre en œuvre ces fournisseurs dès que le besoin d'un travailleur externe se fait sentir</w:t>
      </w:r>
      <w:r w:rsidRPr="00A535B7">
        <w:rPr>
          <w:rFonts w:eastAsia="SimHei" w:asciiTheme="majorHAnsi" w:hAnsiTheme="majorHAnsi" w:cstheme="majorBidi"/>
          <w:b/>
          <w:bCs/>
          <w:sz w:val="22"/>
          <w:szCs w:val="22"/>
          <w:rtl w:val="0"/>
          <w:lang w:val="fr"/>
        </w:rPr>
        <w:t>. Étant donné que Brink's s'associe à ces fournisseurs dans le cadre d'un programme mondial visant à obtenir des prix préférentiels, il est essentiel qu'ils ne soient pas engagés sur une base ad hoc au niveau local.</w:t>
      </w:r>
    </w:p>
    <w:p w:rsidR="003A1B39" w:rsidRPr="008E0A00" w:rsidP="003A1B39" w14:paraId="313A86F0" w14:textId="0478D16B">
      <w:pPr>
        <w:pStyle w:val="Heading2"/>
        <w:bidi w:val="0"/>
        <w:ind w:left="360"/>
        <w:rPr>
          <w:color w:val="auto"/>
          <w:sz w:val="22"/>
          <w:szCs w:val="22"/>
        </w:rPr>
      </w:pPr>
      <w:bookmarkStart w:id="29" w:name="_Toc256000015"/>
      <w:r w:rsidRPr="74515DB9">
        <w:rPr>
          <w:color w:val="auto"/>
          <w:sz w:val="22"/>
          <w:szCs w:val="22"/>
          <w:rtl w:val="0"/>
          <w:lang w:val="fr"/>
        </w:rPr>
        <w:t>Faire appel à l'approvisionnement stratégique</w:t>
      </w:r>
      <w:bookmarkEnd w:id="29"/>
    </w:p>
    <w:p w:rsidR="4E9968A4" w:rsidP="4E9968A4" w14:paraId="5031B698" w14:textId="2C775788">
      <w:pPr>
        <w:bidi w:val="0"/>
        <w:spacing w:before="120" w:after="120"/>
        <w:jc w:val="both"/>
        <w:rPr>
          <w:rFonts w:asciiTheme="majorHAnsi" w:hAnsiTheme="majorHAnsi" w:cstheme="majorBidi"/>
          <w:sz w:val="22"/>
          <w:szCs w:val="22"/>
        </w:rPr>
      </w:pPr>
      <w:r w:rsidRPr="4E9968A4">
        <w:rPr>
          <w:rFonts w:asciiTheme="majorHAnsi" w:hAnsiTheme="majorHAnsi" w:cstheme="majorBidi"/>
          <w:sz w:val="22"/>
          <w:szCs w:val="22"/>
          <w:rtl w:val="0"/>
          <w:lang w:val="fr"/>
        </w:rPr>
        <w:t>Lorsqu'un fournisseur privilégié n'est pas en mesure de répondre aux exigences de la partie prenante ou du partenaire RH, le service d'approvisionnement stratégique s'engage à sélectionner un autre fournisseur. L'approvisionnement stratégique suivra les étapes suivantes :</w:t>
      </w:r>
    </w:p>
    <w:p w:rsidR="004A4C3B" w:rsidRPr="00B76DE1" w:rsidP="00FA438B" w14:paraId="49B073DD" w14:textId="6FE2C365">
      <w:pPr>
        <w:pStyle w:val="Heading3"/>
        <w:numPr>
          <w:ilvl w:val="0"/>
          <w:numId w:val="0"/>
        </w:numPr>
        <w:bidi w:val="0"/>
      </w:pPr>
      <w:r w:rsidRPr="00FA438B">
        <w:rPr>
          <w:noProof/>
          <w:color w:val="auto"/>
        </w:rPr>
        <w:drawing>
          <wp:anchor distT="0" distB="0" distL="114300" distR="114300" simplePos="0" relativeHeight="251659264" behindDoc="0" locked="0" layoutInCell="1" allowOverlap="1">
            <wp:simplePos x="0" y="0"/>
            <wp:positionH relativeFrom="column">
              <wp:posOffset>-60877</wp:posOffset>
            </wp:positionH>
            <wp:positionV relativeFrom="paragraph">
              <wp:posOffset>719317</wp:posOffset>
            </wp:positionV>
            <wp:extent cx="6583680" cy="2891790"/>
            <wp:effectExtent l="0" t="0" r="7620" b="3810"/>
            <wp:wrapTopAndBottom/>
            <wp:docPr id="162528377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206228" name="Picture 1" descr="A screenshot of a computer screen&#10;&#10;Description automatically generated"/>
                    <pic:cNvPicPr/>
                  </pic:nvPicPr>
                  <pic:blipFill>
                    <a:blip xmlns:r="http://schemas.openxmlformats.org/officeDocument/2006/relationships" r:embed="rId9"/>
                    <a:stretch>
                      <a:fillRect/>
                    </a:stretch>
                  </pic:blipFill>
                  <pic:spPr>
                    <a:xfrm>
                      <a:off x="0" y="0"/>
                      <a:ext cx="6583680" cy="2891790"/>
                    </a:xfrm>
                    <a:prstGeom prst="rect">
                      <a:avLst/>
                    </a:prstGeom>
                  </pic:spPr>
                </pic:pic>
              </a:graphicData>
            </a:graphic>
            <wp14:sizeRelH relativeFrom="margin">
              <wp14:pctWidth>0</wp14:pctWidth>
            </wp14:sizeRelH>
            <wp14:sizeRelV relativeFrom="margin">
              <wp14:pctHeight>0</wp14:pctHeight>
            </wp14:sizeRelV>
          </wp:anchor>
        </w:drawing>
      </w:r>
      <w:bookmarkStart w:id="30" w:name="_Toc179490789"/>
      <w:bookmarkStart w:id="31" w:name="_Toc179490895"/>
      <w:bookmarkStart w:id="32" w:name="_Toc179490967"/>
      <w:bookmarkStart w:id="33" w:name="_Toc179491282"/>
      <w:bookmarkStart w:id="34" w:name="_Toc179491323"/>
      <w:bookmarkStart w:id="35" w:name="_Toc179492949"/>
      <w:bookmarkStart w:id="36" w:name="_Toc179490790"/>
      <w:bookmarkStart w:id="37" w:name="_Toc179490896"/>
      <w:bookmarkStart w:id="38" w:name="_Toc179490968"/>
      <w:bookmarkStart w:id="39" w:name="_Toc179491283"/>
      <w:bookmarkStart w:id="40" w:name="_Toc179491324"/>
      <w:bookmarkStart w:id="41" w:name="_Toc179492950"/>
      <w:bookmarkStart w:id="42" w:name="_Toc179490791"/>
      <w:bookmarkStart w:id="43" w:name="_Toc179490897"/>
      <w:bookmarkStart w:id="44" w:name="_Toc179490969"/>
      <w:bookmarkStart w:id="45" w:name="_Toc179491284"/>
      <w:bookmarkStart w:id="46" w:name="_Toc179491325"/>
      <w:bookmarkStart w:id="47" w:name="_Toc179492951"/>
      <w:bookmarkStart w:id="48" w:name="_Toc179490792"/>
      <w:bookmarkStart w:id="49" w:name="_Toc179490898"/>
      <w:bookmarkStart w:id="50" w:name="_Toc179490970"/>
      <w:bookmarkStart w:id="51" w:name="_Toc179491285"/>
      <w:bookmarkStart w:id="52" w:name="_Toc179491326"/>
      <w:bookmarkStart w:id="53" w:name="_Toc179492952"/>
      <w:bookmarkStart w:id="54" w:name="_Toc179490793"/>
      <w:bookmarkStart w:id="55" w:name="_Toc179490899"/>
      <w:bookmarkStart w:id="56" w:name="_Toc179490971"/>
      <w:bookmarkStart w:id="57" w:name="_Toc179491286"/>
      <w:bookmarkStart w:id="58" w:name="_Toc179491327"/>
      <w:bookmarkStart w:id="59" w:name="_Toc179492953"/>
      <w:bookmarkStart w:id="60" w:name="_Toc179490794"/>
      <w:bookmarkStart w:id="61" w:name="_Toc179490900"/>
      <w:bookmarkStart w:id="62" w:name="_Toc179490972"/>
      <w:bookmarkStart w:id="63" w:name="_Toc179491287"/>
      <w:bookmarkStart w:id="64" w:name="_Toc179491328"/>
      <w:bookmarkStart w:id="65" w:name="_Toc179492954"/>
      <w:bookmarkStart w:id="66" w:name="_Toc179490795"/>
      <w:bookmarkStart w:id="67" w:name="_Toc179490901"/>
      <w:bookmarkStart w:id="68" w:name="_Toc179490973"/>
      <w:bookmarkStart w:id="69" w:name="_Toc179491288"/>
      <w:bookmarkStart w:id="70" w:name="_Toc179491329"/>
      <w:bookmarkStart w:id="71" w:name="_Toc179492955"/>
      <w:bookmarkStart w:id="72" w:name="_Toc179490796"/>
      <w:bookmarkStart w:id="73" w:name="_Toc179490902"/>
      <w:bookmarkStart w:id="74" w:name="_Toc179490974"/>
      <w:bookmarkStart w:id="75" w:name="_Toc179491289"/>
      <w:bookmarkStart w:id="76" w:name="_Toc179491330"/>
      <w:bookmarkStart w:id="77" w:name="_Toc179492956"/>
      <w:bookmarkStart w:id="78" w:name="_Toc179490797"/>
      <w:bookmarkStart w:id="79" w:name="_Toc179490903"/>
      <w:bookmarkStart w:id="80" w:name="_Toc179490975"/>
      <w:bookmarkStart w:id="81" w:name="_Toc179491290"/>
      <w:bookmarkStart w:id="82" w:name="_Toc179491331"/>
      <w:bookmarkStart w:id="83" w:name="_Toc179492957"/>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Toc256000016"/>
      <w:r w:rsidRPr="00FA438B" w:rsidR="00141344">
        <w:rPr>
          <w:color w:val="auto"/>
          <w:rtl w:val="0"/>
          <w:lang w:val="fr"/>
        </w:rPr>
        <w:t>Engager des travailleurs intérimaires</w:t>
      </w:r>
      <w:bookmarkEnd w:id="84"/>
    </w:p>
    <w:p w:rsidR="003464B7" w:rsidRPr="0051357C" w:rsidP="0051357C" w14:paraId="2231FAC3" w14:textId="77777777">
      <w:pPr>
        <w:rPr>
          <w:rFonts w:eastAsiaTheme="majorEastAsia"/>
        </w:rPr>
      </w:pPr>
    </w:p>
    <w:p w:rsidR="00851A67" w:rsidRPr="006E53F7" w:rsidP="00851A67" w14:paraId="1CFFF01C" w14:textId="06E30D0C">
      <w:pPr>
        <w:bidi w:val="0"/>
        <w:jc w:val="both"/>
        <w:rPr>
          <w:rFonts w:asciiTheme="majorHAnsi" w:hAnsiTheme="majorHAnsi" w:cstheme="majorBidi"/>
          <w:sz w:val="22"/>
          <w:szCs w:val="22"/>
        </w:rPr>
      </w:pPr>
      <w:r w:rsidRPr="0051357C">
        <w:rPr>
          <w:rFonts w:asciiTheme="majorHAnsi" w:hAnsiTheme="majorHAnsi" w:cstheme="majorBidi"/>
          <w:sz w:val="22"/>
          <w:szCs w:val="22"/>
          <w:rtl w:val="0"/>
          <w:lang w:val="fr"/>
        </w:rPr>
        <w:t xml:space="preserve">Les règles et instructions suivantes s'appliquent lorsque les responsables du recrutement souhaitent engager des travailleurs </w:t>
      </w:r>
      <w:r w:rsidR="00C20CDD">
        <w:rPr>
          <w:rFonts w:asciiTheme="majorHAnsi" w:hAnsiTheme="majorHAnsi" w:cstheme="majorBidi"/>
          <w:i/>
          <w:sz w:val="22"/>
          <w:szCs w:val="22"/>
          <w:rtl w:val="0"/>
          <w:lang w:val="fr"/>
        </w:rPr>
        <w:t>occasionnels.</w:t>
      </w:r>
      <w:r w:rsidRPr="0051357C">
        <w:rPr>
          <w:rFonts w:asciiTheme="majorHAnsi" w:hAnsiTheme="majorHAnsi" w:cstheme="majorBidi"/>
          <w:sz w:val="22"/>
          <w:szCs w:val="22"/>
          <w:rtl w:val="0"/>
          <w:lang w:val="fr"/>
        </w:rPr>
        <w:t xml:space="preserve"> Par exemple, engager un travailleur temporaire pendant 6 mois alors qu'un employé permanent est en congé prolongé. </w:t>
      </w:r>
    </w:p>
    <w:p w:rsidR="006E53F7" w:rsidRPr="0051357C" w:rsidP="6B3824FD" w14:paraId="4D5A0B17" w14:textId="77777777">
      <w:pPr>
        <w:pStyle w:val="Heading3"/>
        <w:numPr>
          <w:ilvl w:val="0"/>
          <w:numId w:val="0"/>
        </w:numPr>
        <w:bidi w:val="0"/>
        <w:jc w:val="both"/>
        <w:rPr>
          <w:i/>
          <w:iCs/>
          <w:color w:val="auto"/>
          <w:sz w:val="22"/>
          <w:szCs w:val="22"/>
        </w:rPr>
      </w:pPr>
      <w:bookmarkStart w:id="85" w:name="_Toc64992975"/>
      <w:bookmarkStart w:id="86" w:name="_Toc256000017"/>
      <w:r w:rsidRPr="6B3824FD">
        <w:rPr>
          <w:i/>
          <w:iCs/>
          <w:color w:val="auto"/>
          <w:sz w:val="22"/>
          <w:szCs w:val="22"/>
          <w:rtl w:val="0"/>
          <w:lang w:val="fr"/>
        </w:rPr>
        <w:t>Approbation du recrutement</w:t>
      </w:r>
      <w:bookmarkEnd w:id="86"/>
      <w:bookmarkEnd w:id="85"/>
    </w:p>
    <w:p w:rsidR="006E53F7" w:rsidRPr="006E53F7" w:rsidP="6B3824FD" w14:paraId="410F6F59" w14:textId="54F7DB15">
      <w:pPr>
        <w:bidi w:val="0"/>
        <w:rPr>
          <w:b/>
          <w:bCs/>
        </w:rPr>
      </w:pPr>
      <w:r w:rsidRPr="6B3824FD">
        <w:rPr>
          <w:rFonts w:asciiTheme="majorHAnsi" w:hAnsiTheme="majorHAnsi" w:cstheme="majorBidi"/>
          <w:sz w:val="22"/>
          <w:szCs w:val="22"/>
          <w:rtl w:val="0"/>
          <w:lang w:val="fr"/>
        </w:rPr>
        <w:t xml:space="preserve">Toutes les nouvelles demandes de travailleurs intérimaires doivent être approuvées par le partenaire commercial RH. Il incombe au partenaire commercial RH de veiller à ce que tous les nouveaux engagements soient conformes à cette politique et de collaborer avec l'approvisionnement stratégique si nécessaire. </w:t>
      </w:r>
    </w:p>
    <w:p w:rsidR="00851A67" w:rsidRPr="0051357C" w:rsidP="6B3824FD" w14:paraId="21AB2922" w14:textId="77777777">
      <w:pPr>
        <w:pStyle w:val="Heading3"/>
        <w:numPr>
          <w:ilvl w:val="0"/>
          <w:numId w:val="0"/>
        </w:numPr>
        <w:bidi w:val="0"/>
        <w:jc w:val="both"/>
        <w:rPr>
          <w:rFonts w:eastAsia="Calibri"/>
          <w:i/>
          <w:iCs/>
          <w:color w:val="auto"/>
          <w:sz w:val="22"/>
          <w:szCs w:val="22"/>
          <w:lang w:eastAsia="nl-NL" w:bidi="nl-NL"/>
        </w:rPr>
      </w:pPr>
      <w:bookmarkStart w:id="87" w:name="_Toc64992960"/>
      <w:bookmarkStart w:id="88" w:name="_Toc256000018"/>
      <w:r w:rsidRPr="6B3824FD">
        <w:rPr>
          <w:rFonts w:eastAsia="Calibri"/>
          <w:i/>
          <w:iCs/>
          <w:color w:val="auto"/>
          <w:sz w:val="22"/>
          <w:szCs w:val="22"/>
          <w:rtl w:val="0"/>
          <w:lang w:val="fr" w:eastAsia="nl-NL" w:bidi="nl-NL"/>
        </w:rPr>
        <w:t>Durée de l'affectation</w:t>
      </w:r>
      <w:bookmarkEnd w:id="88"/>
      <w:bookmarkEnd w:id="87"/>
    </w:p>
    <w:p w:rsidR="00851A67" w:rsidRPr="0051357C" w:rsidP="6B3824FD" w14:paraId="7881A5C7" w14:textId="25EE0757">
      <w:pPr>
        <w:bidi w:val="0"/>
        <w:jc w:val="both"/>
        <w:rPr>
          <w:rFonts w:eastAsia="Calibri" w:asciiTheme="majorHAnsi" w:hAnsiTheme="majorHAnsi" w:cstheme="majorBidi"/>
          <w:sz w:val="22"/>
          <w:szCs w:val="22"/>
          <w:lang w:eastAsia="nl-NL" w:bidi="nl-NL"/>
        </w:rPr>
      </w:pPr>
      <w:r w:rsidRPr="6B3824FD">
        <w:rPr>
          <w:rFonts w:asciiTheme="majorHAnsi" w:hAnsiTheme="majorHAnsi" w:cstheme="majorBidi"/>
          <w:sz w:val="22"/>
          <w:szCs w:val="22"/>
          <w:rtl w:val="0"/>
          <w:lang w:val="fr" w:eastAsia="nl-NL" w:bidi="nl-NL"/>
        </w:rPr>
        <w:t>La durée de l'affectation ne doit pas dépasser 12 mois civils. Le partenaire RH local est responsable du suivi des contrats arrivant à échéance.</w:t>
      </w:r>
    </w:p>
    <w:p w:rsidR="00851A67" w:rsidRPr="0051357C" w:rsidP="0051357C" w14:paraId="20C1CC90" w14:textId="2797B27E">
      <w:pPr>
        <w:pStyle w:val="Heading3"/>
        <w:numPr>
          <w:ilvl w:val="0"/>
          <w:numId w:val="0"/>
        </w:numPr>
        <w:bidi w:val="0"/>
        <w:jc w:val="both"/>
        <w:rPr>
          <w:rFonts w:eastAsia="Calibri"/>
          <w:i/>
          <w:iCs/>
          <w:color w:val="auto"/>
          <w:sz w:val="22"/>
          <w:szCs w:val="22"/>
          <w:lang w:eastAsia="nl-NL" w:bidi="nl-NL"/>
        </w:rPr>
      </w:pPr>
      <w:bookmarkStart w:id="89" w:name="_Toc64992961"/>
      <w:bookmarkStart w:id="90" w:name="_Toc256000019"/>
      <w:r w:rsidRPr="0051357C">
        <w:rPr>
          <w:rFonts w:eastAsia="Calibri"/>
          <w:i/>
          <w:iCs/>
          <w:color w:val="auto"/>
          <w:sz w:val="22"/>
          <w:szCs w:val="22"/>
          <w:rtl w:val="0"/>
          <w:lang w:val="fr" w:eastAsia="nl-NL" w:bidi="nl-NL"/>
        </w:rPr>
        <w:t>Prolongations d'affectation</w:t>
      </w:r>
      <w:bookmarkEnd w:id="90"/>
      <w:bookmarkEnd w:id="89"/>
    </w:p>
    <w:p w:rsidR="00851A67" w:rsidRPr="0051357C" w:rsidP="6B3824FD" w14:paraId="45D18129" w14:textId="439C9390">
      <w:pPr>
        <w:bidi w:val="0"/>
        <w:jc w:val="both"/>
        <w:rPr>
          <w:rFonts w:asciiTheme="majorHAnsi" w:hAnsiTheme="majorHAnsi" w:cstheme="majorBidi"/>
          <w:sz w:val="22"/>
          <w:szCs w:val="22"/>
          <w:lang w:eastAsia="nl-NL" w:bidi="nl-NL"/>
        </w:rPr>
      </w:pPr>
      <w:r w:rsidRPr="6B3824FD">
        <w:rPr>
          <w:rFonts w:asciiTheme="majorHAnsi" w:hAnsiTheme="majorHAnsi" w:cstheme="majorBidi"/>
          <w:sz w:val="22"/>
          <w:szCs w:val="22"/>
          <w:rtl w:val="0"/>
          <w:lang w:val="fr" w:eastAsia="nl-NL" w:bidi="nl-NL"/>
        </w:rPr>
        <w:t>Toute affectation peut être prolongée au-delà de 12 mois civils en obtenant l'approbation formelle du vice-président régional/de la vice-présidente des ressources humaines et du directeur juridique régional.  Dans certains pays, le nombre d'extensions possibles est limité. Dans ce cas, il convient de respecter la législation locale et de contacter le partenaire RH local.</w:t>
      </w:r>
    </w:p>
    <w:p w:rsidR="00851A67" w:rsidRPr="0051357C" w:rsidP="0051357C" w14:paraId="7F702D9D" w14:textId="77777777">
      <w:pPr>
        <w:pStyle w:val="Heading3"/>
        <w:numPr>
          <w:ilvl w:val="0"/>
          <w:numId w:val="0"/>
        </w:numPr>
        <w:bidi w:val="0"/>
        <w:jc w:val="both"/>
        <w:rPr>
          <w:rFonts w:eastAsia="Calibri"/>
          <w:i/>
          <w:iCs/>
          <w:color w:val="auto"/>
          <w:sz w:val="22"/>
          <w:szCs w:val="22"/>
          <w:lang w:eastAsia="nl-NL" w:bidi="nl-NL"/>
        </w:rPr>
      </w:pPr>
      <w:bookmarkStart w:id="91" w:name="_Toc64992962"/>
      <w:bookmarkStart w:id="92" w:name="_Toc256000020"/>
      <w:r w:rsidRPr="0051357C">
        <w:rPr>
          <w:rFonts w:eastAsia="Calibri"/>
          <w:i/>
          <w:iCs/>
          <w:color w:val="auto"/>
          <w:sz w:val="22"/>
          <w:szCs w:val="22"/>
          <w:rtl w:val="0"/>
          <w:lang w:val="fr" w:eastAsia="nl-NL" w:bidi="nl-NL"/>
        </w:rPr>
        <w:t>Durée du travail Période de séparation</w:t>
      </w:r>
      <w:bookmarkEnd w:id="92"/>
      <w:bookmarkEnd w:id="91"/>
    </w:p>
    <w:p w:rsidR="00D011F3" w:rsidRPr="0051357C" w:rsidP="0051357C" w14:paraId="3068D38B" w14:textId="70D9A77E">
      <w:pPr>
        <w:bidi w:val="0"/>
        <w:jc w:val="both"/>
        <w:rPr>
          <w:rFonts w:asciiTheme="majorHAnsi" w:hAnsiTheme="majorHAnsi" w:cstheme="majorBidi"/>
          <w:sz w:val="22"/>
          <w:szCs w:val="22"/>
          <w:lang w:eastAsia="nl-NL" w:bidi="nl-NL"/>
        </w:rPr>
      </w:pPr>
      <w:r>
        <w:rPr>
          <w:rFonts w:asciiTheme="majorHAnsi" w:hAnsiTheme="majorHAnsi" w:cstheme="majorBidi"/>
          <w:sz w:val="22"/>
          <w:szCs w:val="22"/>
          <w:rtl w:val="0"/>
          <w:lang w:val="fr" w:eastAsia="nl-NL" w:bidi="nl-NL"/>
        </w:rPr>
        <w:t>Sous réserve de la législation applicable, si la pause de trois mois doit être supprimée, une consultation juridique et un alignement préalables sont nécessaires. Il est important de noter que la limite de 24 mois s'applique à la durée totale de l'emploi du travailleur chez Brink's, et non à la durée des missions individuelles. Par conséquent, le temps écoulé entre la date de début de l'activité du travailleur chez Brink's et une éventuelle prolongation ne peut excéder 24 mois au total. Par exemple, si un travailleur intérimaire est engagé pour trois missions consécutives, chacune d'une durée de 8 mois, l'ancienneté cumulée atteindra 24 mois. Dans ce cas, le travailleur ne doit pas prolonger son contrat, même si la nouvelle mission porte sur un projet ou un besoin différent.</w:t>
      </w:r>
    </w:p>
    <w:p w:rsidR="00851A67" w:rsidRPr="0051357C" w:rsidP="0051357C" w14:paraId="3F602256" w14:textId="77777777">
      <w:pPr>
        <w:pStyle w:val="Heading3"/>
        <w:numPr>
          <w:ilvl w:val="0"/>
          <w:numId w:val="0"/>
        </w:numPr>
        <w:bidi w:val="0"/>
        <w:jc w:val="both"/>
        <w:rPr>
          <w:rFonts w:eastAsia="Calibri"/>
          <w:i/>
          <w:iCs/>
          <w:color w:val="auto"/>
          <w:sz w:val="22"/>
          <w:szCs w:val="22"/>
          <w:lang w:eastAsia="nl-NL" w:bidi="nl-NL"/>
        </w:rPr>
      </w:pPr>
      <w:bookmarkStart w:id="93" w:name="_Toc256000021"/>
      <w:r w:rsidRPr="0051357C">
        <w:rPr>
          <w:rFonts w:eastAsia="Calibri"/>
          <w:i/>
          <w:iCs/>
          <w:color w:val="auto"/>
          <w:sz w:val="22"/>
          <w:szCs w:val="22"/>
          <w:rtl w:val="0"/>
          <w:lang w:val="fr" w:eastAsia="nl-NL" w:bidi="nl-NL"/>
        </w:rPr>
        <w:t>Affectation Heures supplémentaires</w:t>
      </w:r>
      <w:bookmarkEnd w:id="93"/>
    </w:p>
    <w:p w:rsidR="00851A67" w:rsidRPr="0051357C" w:rsidP="6B3824FD" w14:paraId="60E97CD5" w14:textId="53532CEB">
      <w:pPr>
        <w:bidi w:val="0"/>
        <w:jc w:val="both"/>
        <w:rPr>
          <w:rFonts w:eastAsia="Calibri" w:asciiTheme="majorHAnsi" w:hAnsiTheme="majorHAnsi" w:cstheme="majorBidi"/>
          <w:sz w:val="22"/>
          <w:szCs w:val="22"/>
          <w:lang w:eastAsia="nl-NL" w:bidi="nl-NL"/>
        </w:rPr>
      </w:pPr>
      <w:r w:rsidRPr="6B3824FD">
        <w:rPr>
          <w:rFonts w:eastAsia="Calibri" w:asciiTheme="majorHAnsi" w:hAnsiTheme="majorHAnsi" w:cstheme="majorBidi"/>
          <w:sz w:val="22"/>
          <w:szCs w:val="22"/>
          <w:rtl w:val="0"/>
          <w:lang w:val="fr" w:eastAsia="nl-NL" w:bidi="nl-NL"/>
        </w:rPr>
        <w:t xml:space="preserve">Les heures supplémentaires (ou plus que les heures convenues) ne sont pas autorisées et ne seront pas compensées sans l'approbation du responsable de Brink's concerné pour tous les travailleurs intellectuels occasionnels, à moins que la compensation des heures travaillées non autorisées ne soit exigée par la loi applicable. </w:t>
      </w:r>
    </w:p>
    <w:p w:rsidR="00851A67" w:rsidRPr="0051357C" w:rsidP="0051357C" w14:paraId="7866D736" w14:textId="77777777">
      <w:pPr>
        <w:pStyle w:val="Heading3"/>
        <w:numPr>
          <w:ilvl w:val="0"/>
          <w:numId w:val="0"/>
        </w:numPr>
        <w:bidi w:val="0"/>
        <w:jc w:val="both"/>
        <w:rPr>
          <w:rFonts w:eastAsia="Calibri"/>
          <w:i/>
          <w:iCs/>
          <w:color w:val="auto"/>
          <w:sz w:val="22"/>
          <w:szCs w:val="22"/>
          <w:lang w:eastAsia="nl-NL" w:bidi="nl-NL"/>
        </w:rPr>
      </w:pPr>
      <w:bookmarkStart w:id="94" w:name="_Toc64992964"/>
      <w:bookmarkStart w:id="95" w:name="_Toc256000022"/>
      <w:r w:rsidRPr="0051357C">
        <w:rPr>
          <w:rFonts w:eastAsia="Calibri"/>
          <w:i/>
          <w:iCs/>
          <w:color w:val="auto"/>
          <w:sz w:val="22"/>
          <w:szCs w:val="22"/>
          <w:rtl w:val="0"/>
          <w:lang w:val="fr" w:eastAsia="nl-NL" w:bidi="nl-NL"/>
        </w:rPr>
        <w:t>Congé prolongé</w:t>
      </w:r>
      <w:bookmarkEnd w:id="95"/>
      <w:bookmarkEnd w:id="94"/>
    </w:p>
    <w:p w:rsidR="00851A67" w:rsidRPr="0051357C" w:rsidP="00851A67" w14:paraId="0C269785" w14:textId="137C1A18">
      <w:pPr>
        <w:bidi w:val="0"/>
        <w:jc w:val="both"/>
        <w:rPr>
          <w:rFonts w:eastAsia="Calibri" w:asciiTheme="majorHAnsi" w:hAnsiTheme="majorHAnsi" w:cstheme="majorBidi"/>
          <w:sz w:val="22"/>
          <w:szCs w:val="22"/>
          <w:lang w:eastAsia="nl-NL" w:bidi="nl-NL"/>
        </w:rPr>
      </w:pPr>
      <w:r w:rsidRPr="0051357C">
        <w:rPr>
          <w:rFonts w:eastAsia="Calibri" w:asciiTheme="majorHAnsi" w:hAnsiTheme="majorHAnsi" w:cstheme="majorBidi"/>
          <w:sz w:val="22"/>
          <w:szCs w:val="22"/>
          <w:rtl w:val="0"/>
          <w:lang w:val="fr" w:eastAsia="nl-NL" w:bidi="nl-NL"/>
        </w:rPr>
        <w:t xml:space="preserve">L'arrêt de travail s'applique à tous les travailleurs intellectuels en fonction de la législation locale. </w:t>
      </w:r>
    </w:p>
    <w:p w:rsidR="00DE1765" w:rsidP="0051357C" w14:paraId="30031C7C" w14:textId="67448CDB">
      <w:pPr>
        <w:pStyle w:val="Heading3"/>
        <w:numPr>
          <w:ilvl w:val="0"/>
          <w:numId w:val="0"/>
        </w:numPr>
        <w:bidi w:val="0"/>
        <w:jc w:val="both"/>
        <w:rPr>
          <w:lang w:eastAsia="nl-NL" w:bidi="nl-NL"/>
        </w:rPr>
      </w:pPr>
      <w:bookmarkStart w:id="96" w:name="_Toc256000023"/>
      <w:r>
        <w:rPr>
          <w:rFonts w:eastAsia="Calibri"/>
          <w:i/>
          <w:iCs/>
          <w:color w:val="auto"/>
          <w:sz w:val="22"/>
          <w:szCs w:val="22"/>
          <w:rtl w:val="0"/>
          <w:lang w:val="fr" w:eastAsia="nl-NL" w:bidi="nl-NL"/>
        </w:rPr>
        <w:t>Embauches recommandées</w:t>
      </w:r>
      <w:bookmarkEnd w:id="96"/>
    </w:p>
    <w:p w:rsidR="00851A67" w:rsidRPr="0051357C" w:rsidP="6B3824FD" w14:paraId="46CF149F" w14:textId="1FC8BDA3">
      <w:pPr>
        <w:bidi w:val="0"/>
        <w:jc w:val="both"/>
        <w:rPr>
          <w:rFonts w:eastAsia="Calibri" w:asciiTheme="majorHAnsi" w:hAnsiTheme="majorHAnsi" w:cstheme="majorBidi"/>
          <w:sz w:val="22"/>
          <w:szCs w:val="22"/>
          <w:lang w:eastAsia="nl-NL" w:bidi="nl-NL"/>
        </w:rPr>
      </w:pPr>
      <w:r w:rsidRPr="6B3824FD">
        <w:rPr>
          <w:rFonts w:eastAsia="Calibri" w:asciiTheme="majorHAnsi" w:hAnsiTheme="majorHAnsi" w:cstheme="majorBidi"/>
          <w:sz w:val="22"/>
          <w:szCs w:val="22"/>
          <w:rtl w:val="0"/>
          <w:lang w:val="fr" w:eastAsia="nl-NL" w:bidi="nl-NL"/>
        </w:rPr>
        <w:t>La pratique consistant pour un employé de la Brink's à recommander des employés externes - lorsqu'un travailleur externe spécifique est sélectionné pour un emploi sans passer par une procédure de sélection concurrentielle - est strictement interdite. Brink's est un employeur qui respecte l'égalité des chances. Cette politique garantit que les décisions d'embauche sont prises de manière transparente et équitable, en donnant à tous les candidats potentiels une chance égale de concourir pour un poste. Elle permet également d'atténuer les risques liés au favoritisme, de réduire la probabilité de non-respect des politiques internes et de s'aligner sur les normes de l'entreprise en matière d'équité et de rentabilité dans la dotation en personnel. Dans les cas exceptionnels où une embauche est jugée nécessaire, par exemple lorsqu'un candidat possède des compétences uniques ou une expérience essentielle pour un projet, une justification adéquate doit être fournie. Toute exception doit être approuvée par le vice-président régional/le vice-président des ressources humaines afin de garantir que la décision d'embauche est conforme aux objectifs généraux de l'organisation et aux politiques d'achat. Ce n'est qu'après avoir reçu ces approbations que le processus de recrutement peut se poursuivre avec la personne nommée.</w:t>
      </w:r>
    </w:p>
    <w:p w:rsidR="00851A67" w:rsidRPr="0051357C" w:rsidP="0051357C" w14:paraId="11570396" w14:textId="77777777">
      <w:pPr>
        <w:pStyle w:val="Heading3"/>
        <w:numPr>
          <w:ilvl w:val="0"/>
          <w:numId w:val="0"/>
        </w:numPr>
        <w:bidi w:val="0"/>
        <w:jc w:val="both"/>
        <w:rPr>
          <w:rFonts w:eastAsia="Calibri"/>
          <w:i/>
          <w:iCs/>
          <w:color w:val="auto"/>
          <w:sz w:val="22"/>
          <w:szCs w:val="22"/>
          <w:lang w:eastAsia="nl-NL" w:bidi="nl-NL"/>
        </w:rPr>
      </w:pPr>
      <w:bookmarkStart w:id="97" w:name="_Toc256000024"/>
      <w:r w:rsidRPr="0051357C">
        <w:rPr>
          <w:rFonts w:eastAsia="Calibri"/>
          <w:i/>
          <w:iCs/>
          <w:color w:val="auto"/>
          <w:sz w:val="22"/>
          <w:szCs w:val="22"/>
          <w:rtl w:val="0"/>
          <w:lang w:val="fr" w:eastAsia="nl-NL" w:bidi="nl-NL"/>
        </w:rPr>
        <w:t>Dépenses et remboursements</w:t>
      </w:r>
      <w:bookmarkEnd w:id="97"/>
    </w:p>
    <w:p w:rsidR="00851A67" w:rsidRPr="0051357C" w:rsidP="00851A67" w14:paraId="4960368C" w14:textId="7BEF30A3">
      <w:pPr>
        <w:bidi w:val="0"/>
        <w:jc w:val="both"/>
        <w:rPr>
          <w:rFonts w:eastAsia="Calibri" w:asciiTheme="majorHAnsi" w:hAnsiTheme="majorHAnsi" w:cstheme="majorBidi"/>
          <w:sz w:val="22"/>
          <w:szCs w:val="22"/>
          <w:lang w:eastAsia="nl-NL" w:bidi="nl-NL"/>
        </w:rPr>
      </w:pPr>
      <w:r w:rsidRPr="3766A6B7">
        <w:rPr>
          <w:rFonts w:eastAsia="Calibri" w:asciiTheme="majorHAnsi" w:hAnsiTheme="majorHAnsi" w:cstheme="majorBidi"/>
          <w:sz w:val="22"/>
          <w:szCs w:val="22"/>
          <w:rtl w:val="0"/>
          <w:lang w:val="fr" w:eastAsia="nl-NL" w:bidi="nl-NL"/>
        </w:rPr>
        <w:t xml:space="preserve">Les dépenses et les remboursements des dépenses doivent être conformes à la politique de voyage de Brink's : </w:t>
      </w:r>
      <w:hyperlink r:id="rId10" w:history="1">
        <w:r w:rsidRPr="00B96659" w:rsidR="00B96659">
          <w:rPr>
            <w:rStyle w:val="Hyperlink"/>
            <w:rFonts w:eastAsia="Calibri" w:asciiTheme="majorHAnsi" w:hAnsiTheme="majorHAnsi" w:cstheme="majorBidi"/>
            <w:sz w:val="22"/>
            <w:szCs w:val="22"/>
            <w:rtl w:val="0"/>
            <w:lang w:val="fr" w:eastAsia="nl-NL" w:bidi="nl-NL"/>
          </w:rPr>
          <w:t>Brinks Global Travel and Expense - Accueil</w:t>
        </w:r>
      </w:hyperlink>
      <w:r w:rsidRPr="3766A6B7">
        <w:rPr>
          <w:rFonts w:eastAsia="Calibri" w:asciiTheme="majorHAnsi" w:hAnsiTheme="majorHAnsi" w:cstheme="majorBidi"/>
          <w:sz w:val="22"/>
          <w:szCs w:val="22"/>
          <w:rtl w:val="0"/>
          <w:lang w:val="fr" w:eastAsia="nl-NL" w:bidi="nl-NL"/>
        </w:rPr>
        <w:t xml:space="preserve">. </w:t>
      </w:r>
    </w:p>
    <w:p w:rsidR="0059487B" w:rsidP="0051357C" w14:paraId="547A0D5C" w14:textId="3FC863FA">
      <w:pPr>
        <w:pStyle w:val="Heading3"/>
        <w:numPr>
          <w:ilvl w:val="0"/>
          <w:numId w:val="0"/>
        </w:numPr>
        <w:bidi w:val="0"/>
        <w:jc w:val="both"/>
        <w:rPr>
          <w:lang w:eastAsia="nl-NL" w:bidi="nl-NL"/>
        </w:rPr>
      </w:pPr>
      <w:bookmarkStart w:id="98" w:name="_Toc64992969"/>
      <w:bookmarkStart w:id="99" w:name="_Toc256000025"/>
      <w:r w:rsidRPr="0051357C">
        <w:rPr>
          <w:rFonts w:eastAsia="Calibri"/>
          <w:i/>
          <w:iCs/>
          <w:color w:val="auto"/>
          <w:sz w:val="22"/>
          <w:szCs w:val="22"/>
          <w:rtl w:val="0"/>
          <w:lang w:val="fr" w:eastAsia="nl-NL" w:bidi="nl-NL"/>
        </w:rPr>
        <w:t>Gestion des risques</w:t>
      </w:r>
      <w:bookmarkEnd w:id="99"/>
      <w:bookmarkEnd w:id="98"/>
      <w:r w:rsidRPr="0051357C">
        <w:rPr>
          <w:rFonts w:eastAsia="Calibri"/>
          <w:i/>
          <w:iCs/>
          <w:color w:val="auto"/>
          <w:sz w:val="22"/>
          <w:szCs w:val="22"/>
          <w:rtl w:val="0"/>
          <w:lang w:val="fr" w:eastAsia="nl-NL" w:bidi="nl-NL"/>
        </w:rPr>
        <w:t xml:space="preserve"> </w:t>
      </w:r>
      <w:bookmarkStart w:id="100" w:name="_Hlk63364643"/>
    </w:p>
    <w:p w:rsidR="0059487B" w:rsidP="0051357C" w14:paraId="52B8FA40" w14:textId="2CCC96FC">
      <w:pPr>
        <w:bidi w:val="0"/>
        <w:jc w:val="both"/>
        <w:rPr>
          <w:rFonts w:eastAsia="Calibri" w:asciiTheme="majorHAnsi" w:hAnsiTheme="majorHAnsi" w:cstheme="majorBidi"/>
          <w:sz w:val="22"/>
          <w:szCs w:val="22"/>
          <w:lang w:val="en-GB" w:eastAsia="nl-NL" w:bidi="nl-NL"/>
        </w:rPr>
      </w:pPr>
      <w:r w:rsidRPr="0059487B">
        <w:rPr>
          <w:rFonts w:eastAsia="Calibri" w:asciiTheme="majorHAnsi" w:hAnsiTheme="majorHAnsi" w:cstheme="majorBidi"/>
          <w:sz w:val="22"/>
          <w:szCs w:val="22"/>
          <w:rtl w:val="0"/>
          <w:lang w:val="fr" w:eastAsia="nl-NL" w:bidi="nl-NL"/>
        </w:rPr>
        <w:t>Le coemploi survient lorsqu'une entreprise, telle que Brink's, prend certaines mesures à l'égard des travailleurs intérimaires qui brouillent la frontière entre l'entrepreneur et l'employé. Ces actions comprennent, sans s'y limiter, les révisions de salaires et d'avantages sociaux, les conseils en matière de performances, les entretiens, la participation à des réunions de direction, à des assemblées générales, à des célébrations ou à des licenciements. Dans ce cas, Brink's pourrait être considéré comme le "co-employeur" légal du travailleur occasionnel bien qu'il ne l'emploie pas directement, ce qui pourrait exposer l'entreprise à des risques juridiques importants, notamment des réclamations concernant les avantages sociaux et les droits en matière d'emploi.</w:t>
      </w:r>
    </w:p>
    <w:p w:rsidR="0059487B" w:rsidRPr="0059487B" w:rsidP="0059487B" w14:paraId="47983B7D" w14:textId="77777777">
      <w:pPr>
        <w:ind w:firstLine="720"/>
        <w:jc w:val="both"/>
        <w:rPr>
          <w:rFonts w:eastAsia="Calibri" w:asciiTheme="majorHAnsi" w:hAnsiTheme="majorHAnsi" w:cstheme="majorBidi"/>
          <w:sz w:val="22"/>
          <w:szCs w:val="22"/>
          <w:lang w:val="en-GB" w:eastAsia="nl-NL" w:bidi="nl-NL"/>
        </w:rPr>
      </w:pPr>
    </w:p>
    <w:p w:rsidR="0059487B" w:rsidP="00703DC3" w14:paraId="1D65389A" w14:textId="3FC91744">
      <w:pPr>
        <w:bidi w:val="0"/>
        <w:spacing w:line="259" w:lineRule="auto"/>
        <w:jc w:val="both"/>
        <w:rPr>
          <w:rFonts w:ascii="Calibri" w:eastAsia="Calibri" w:hAnsi="Calibri" w:cs="Calibri"/>
          <w:sz w:val="22"/>
          <w:szCs w:val="22"/>
          <w:lang w:val="en-GB"/>
        </w:rPr>
      </w:pPr>
      <w:r w:rsidRPr="4E9968A4">
        <w:rPr>
          <w:rFonts w:eastAsia="Calibri" w:asciiTheme="majorHAnsi" w:hAnsiTheme="majorHAnsi" w:cstheme="majorBidi"/>
          <w:sz w:val="22"/>
          <w:szCs w:val="22"/>
          <w:rtl w:val="0"/>
          <w:lang w:val="fr" w:eastAsia="nl-NL" w:bidi="nl-NL"/>
        </w:rPr>
        <w:t>Il est essentiel d'éviter de traiter les travailleurs occasionnels comme des employés permanents ou temporaires. Les faire participer à des activités telles que des réunions d'équipe, des événements de leadership ou des programmes axés sur les employés peut conduire à des réclamations légales d'emploi de facto, en particulier dans les pays où la réglementation du travail est stricte.</w:t>
      </w:r>
    </w:p>
    <w:p w:rsidR="00F947C3" w:rsidP="00023788" w14:paraId="76AE4830" w14:textId="77777777">
      <w:pPr>
        <w:jc w:val="both"/>
        <w:rPr>
          <w:rFonts w:eastAsia="Calibri" w:asciiTheme="majorHAnsi" w:hAnsiTheme="majorHAnsi" w:cstheme="majorBidi"/>
          <w:sz w:val="22"/>
          <w:szCs w:val="22"/>
          <w:lang w:val="en-GB" w:eastAsia="nl-NL" w:bidi="nl-NL"/>
        </w:rPr>
      </w:pPr>
    </w:p>
    <w:p w:rsidR="00F947C3" w:rsidP="0051357C" w14:paraId="6BF39635" w14:textId="0CBECB94">
      <w:pPr>
        <w:bidi w:val="0"/>
        <w:ind w:firstLine="360"/>
        <w:jc w:val="both"/>
        <w:rPr>
          <w:rFonts w:eastAsia="Calibri" w:asciiTheme="majorHAnsi" w:hAnsiTheme="majorHAnsi" w:cstheme="majorBidi"/>
          <w:sz w:val="22"/>
          <w:szCs w:val="22"/>
          <w:u w:val="single"/>
          <w:lang w:val="en-GB" w:eastAsia="nl-NL" w:bidi="nl-NL"/>
        </w:rPr>
      </w:pPr>
      <w:r w:rsidRPr="0051357C">
        <w:rPr>
          <w:rFonts w:eastAsia="Calibri" w:asciiTheme="majorHAnsi" w:hAnsiTheme="majorHAnsi" w:cstheme="majorBidi"/>
          <w:sz w:val="22"/>
          <w:szCs w:val="22"/>
          <w:u w:val="single"/>
          <w:rtl w:val="0"/>
          <w:lang w:val="fr" w:eastAsia="nl-NL" w:bidi="nl-NL"/>
        </w:rPr>
        <w:t>Comment réduire les risques liés au co-emploi ?</w:t>
      </w:r>
    </w:p>
    <w:p w:rsidR="00786AC3" w:rsidRPr="0051357C" w:rsidP="0051357C" w14:paraId="4EF0A94F" w14:textId="77777777">
      <w:pPr>
        <w:ind w:firstLine="360"/>
        <w:jc w:val="both"/>
        <w:rPr>
          <w:rFonts w:eastAsia="Calibri" w:asciiTheme="majorHAnsi" w:hAnsiTheme="majorHAnsi" w:cstheme="majorBidi"/>
          <w:sz w:val="22"/>
          <w:szCs w:val="22"/>
          <w:u w:val="single"/>
          <w:lang w:val="en-GB" w:eastAsia="nl-NL" w:bidi="nl-NL"/>
        </w:rPr>
      </w:pPr>
    </w:p>
    <w:p w:rsidR="007A1771" w:rsidRPr="0051357C" w:rsidP="00D20217" w14:paraId="1F8FF5CA" w14:textId="77777777">
      <w:pPr>
        <w:pStyle w:val="ListParagraph"/>
        <w:numPr>
          <w:ilvl w:val="0"/>
          <w:numId w:val="5"/>
        </w:numPr>
        <w:bidi w:val="0"/>
        <w:jc w:val="both"/>
        <w:rPr>
          <w:rFonts w:eastAsia="Calibri" w:asciiTheme="majorHAnsi" w:hAnsiTheme="majorHAnsi" w:cstheme="majorBidi"/>
          <w:sz w:val="22"/>
          <w:szCs w:val="22"/>
          <w:lang w:val="en-GB" w:eastAsia="nl-NL" w:bidi="nl-NL"/>
        </w:rPr>
      </w:pPr>
      <w:r w:rsidRPr="0051357C">
        <w:rPr>
          <w:rFonts w:eastAsia="Calibri" w:asciiTheme="majorHAnsi" w:hAnsiTheme="majorHAnsi" w:cstheme="majorBidi"/>
          <w:sz w:val="22"/>
          <w:szCs w:val="22"/>
          <w:rtl w:val="0"/>
          <w:lang w:val="fr" w:eastAsia="nl-NL" w:bidi="nl-NL"/>
        </w:rPr>
        <w:t>Aucune affectation ne doit durer plus de 12 mois.</w:t>
      </w:r>
    </w:p>
    <w:p w:rsidR="007A1771" w:rsidRPr="0051357C" w:rsidP="00D20217" w14:paraId="70D5155B" w14:textId="208E5DC0">
      <w:pPr>
        <w:pStyle w:val="ListParagraph"/>
        <w:numPr>
          <w:ilvl w:val="0"/>
          <w:numId w:val="5"/>
        </w:numPr>
        <w:bidi w:val="0"/>
        <w:jc w:val="both"/>
        <w:rPr>
          <w:rFonts w:eastAsia="Calibri" w:asciiTheme="majorHAnsi" w:hAnsiTheme="majorHAnsi" w:cstheme="majorBidi"/>
          <w:sz w:val="22"/>
          <w:szCs w:val="22"/>
          <w:lang w:val="en-GB" w:eastAsia="nl-NL" w:bidi="nl-NL"/>
        </w:rPr>
      </w:pPr>
      <w:r w:rsidRPr="0051357C">
        <w:rPr>
          <w:rFonts w:eastAsia="Calibri" w:asciiTheme="majorHAnsi" w:hAnsiTheme="majorHAnsi" w:cstheme="majorBidi"/>
          <w:sz w:val="22"/>
          <w:szCs w:val="22"/>
          <w:rtl w:val="0"/>
          <w:lang w:val="fr" w:eastAsia="nl-NL" w:bidi="nl-NL"/>
        </w:rPr>
        <w:t>Les travailleurs temporaires engagés par l'intermédiaire d'une agence de travail temporaire doivent être interrogés par l'agence.</w:t>
      </w:r>
    </w:p>
    <w:p w:rsidR="007A1771" w:rsidRPr="0051357C" w:rsidP="00D20217" w14:paraId="39A12F22" w14:textId="77777777">
      <w:pPr>
        <w:pStyle w:val="ListParagraph"/>
        <w:numPr>
          <w:ilvl w:val="0"/>
          <w:numId w:val="5"/>
        </w:numPr>
        <w:bidi w:val="0"/>
        <w:jc w:val="both"/>
        <w:rPr>
          <w:rFonts w:eastAsia="Calibri" w:asciiTheme="majorHAnsi" w:hAnsiTheme="majorHAnsi" w:cstheme="majorBidi"/>
          <w:sz w:val="22"/>
          <w:szCs w:val="22"/>
          <w:lang w:val="en-GB" w:eastAsia="nl-NL" w:bidi="nl-NL"/>
        </w:rPr>
      </w:pPr>
      <w:r w:rsidRPr="0051357C">
        <w:rPr>
          <w:rFonts w:eastAsia="Calibri" w:asciiTheme="majorHAnsi" w:hAnsiTheme="majorHAnsi" w:cstheme="majorBidi"/>
          <w:sz w:val="22"/>
          <w:szCs w:val="22"/>
          <w:rtl w:val="0"/>
          <w:lang w:val="fr" w:eastAsia="nl-NL" w:bidi="nl-NL"/>
        </w:rPr>
        <w:t>Les agences qui fournissent du travail temporaire doivent gérer toutes les questions relatives à la rémunération, aux vacances, aux congés, aux congés de maladie, aux performances et à l'évolution de carrière.</w:t>
      </w:r>
    </w:p>
    <w:p w:rsidR="007A1771" w:rsidRPr="0051357C" w:rsidP="00D20217" w14:paraId="7799F48E" w14:textId="65F574B0">
      <w:pPr>
        <w:pStyle w:val="ListParagraph"/>
        <w:numPr>
          <w:ilvl w:val="0"/>
          <w:numId w:val="5"/>
        </w:numPr>
        <w:bidi w:val="0"/>
        <w:jc w:val="both"/>
        <w:rPr>
          <w:rFonts w:eastAsia="Calibri" w:asciiTheme="majorHAnsi" w:hAnsiTheme="majorHAnsi" w:cstheme="majorBidi"/>
          <w:sz w:val="22"/>
          <w:szCs w:val="22"/>
          <w:lang w:val="en-GB" w:eastAsia="nl-NL" w:bidi="nl-NL"/>
        </w:rPr>
      </w:pPr>
      <w:r w:rsidRPr="0051357C">
        <w:rPr>
          <w:rFonts w:eastAsia="Calibri" w:asciiTheme="majorHAnsi" w:hAnsiTheme="majorHAnsi" w:cstheme="majorBidi"/>
          <w:sz w:val="22"/>
          <w:szCs w:val="22"/>
          <w:rtl w:val="0"/>
          <w:lang w:val="fr" w:eastAsia="nl-NL" w:bidi="nl-NL"/>
        </w:rPr>
        <w:t>Les entrepreneurs indépendants sont responsables de toutes les implications fiscales et des retenues à la source résultant de leur travail avec Brink's.</w:t>
      </w:r>
    </w:p>
    <w:p w:rsidR="007A1771" w:rsidP="00D20217" w14:paraId="6847D72E" w14:textId="49418F33">
      <w:pPr>
        <w:pStyle w:val="ListParagraph"/>
        <w:numPr>
          <w:ilvl w:val="0"/>
          <w:numId w:val="5"/>
        </w:numPr>
        <w:bidi w:val="0"/>
        <w:jc w:val="both"/>
        <w:rPr>
          <w:rFonts w:eastAsia="Calibri" w:asciiTheme="majorHAnsi" w:hAnsiTheme="majorHAnsi" w:cstheme="majorBidi"/>
          <w:sz w:val="22"/>
          <w:szCs w:val="22"/>
          <w:lang w:val="en-GB" w:eastAsia="nl-NL" w:bidi="nl-NL"/>
        </w:rPr>
      </w:pPr>
      <w:r w:rsidRPr="0051357C">
        <w:rPr>
          <w:rFonts w:eastAsia="Calibri" w:asciiTheme="majorHAnsi" w:hAnsiTheme="majorHAnsi" w:cstheme="majorBidi"/>
          <w:sz w:val="22"/>
          <w:szCs w:val="22"/>
          <w:rtl w:val="0"/>
          <w:lang w:val="fr" w:eastAsia="nl-NL" w:bidi="nl-NL"/>
        </w:rPr>
        <w:t>Les travailleurs intérimaires doivent être identifiés comme tels sur leur badge d'identification, leur signature de courrier électronique, leur liste téléphonique, leur organigramme, dans Microsoft Outlook, etc.</w:t>
      </w:r>
    </w:p>
    <w:p w:rsidR="00836DB9" w:rsidRPr="0051357C" w:rsidP="00D20217" w14:paraId="198BA202" w14:textId="0A9E707C">
      <w:pPr>
        <w:pStyle w:val="ListParagraph"/>
        <w:numPr>
          <w:ilvl w:val="0"/>
          <w:numId w:val="5"/>
        </w:numPr>
        <w:bidi w:val="0"/>
        <w:jc w:val="both"/>
        <w:rPr>
          <w:rFonts w:eastAsia="Calibri" w:asciiTheme="majorHAnsi" w:hAnsiTheme="majorHAnsi" w:cstheme="majorBidi"/>
          <w:sz w:val="22"/>
          <w:szCs w:val="22"/>
          <w:lang w:val="en-GB" w:eastAsia="nl-NL" w:bidi="nl-NL"/>
        </w:rPr>
      </w:pPr>
      <w:r>
        <w:rPr>
          <w:rFonts w:eastAsia="Calibri" w:asciiTheme="majorHAnsi" w:hAnsiTheme="majorHAnsi" w:cstheme="majorBidi"/>
          <w:sz w:val="22"/>
          <w:szCs w:val="22"/>
          <w:rtl w:val="0"/>
          <w:lang w:val="fr" w:eastAsia="nl-NL" w:bidi="nl-NL"/>
        </w:rPr>
        <w:t>Les travailleurs intérimaires ne devraient pas se voir attribuer un titre interne à la Brink's</w:t>
      </w:r>
    </w:p>
    <w:p w:rsidR="007A1771" w:rsidP="00D20217" w14:paraId="2716F99F" w14:textId="651E0B83">
      <w:pPr>
        <w:pStyle w:val="ListParagraph"/>
        <w:numPr>
          <w:ilvl w:val="0"/>
          <w:numId w:val="5"/>
        </w:numPr>
        <w:bidi w:val="0"/>
        <w:jc w:val="both"/>
        <w:rPr>
          <w:rFonts w:eastAsia="Calibri" w:asciiTheme="majorHAnsi" w:hAnsiTheme="majorHAnsi" w:cstheme="majorBidi"/>
          <w:sz w:val="22"/>
          <w:szCs w:val="22"/>
          <w:lang w:val="en-GB" w:eastAsia="nl-NL" w:bidi="nl-NL"/>
        </w:rPr>
      </w:pPr>
      <w:r w:rsidRPr="0051357C">
        <w:rPr>
          <w:rFonts w:eastAsia="Calibri" w:asciiTheme="majorHAnsi" w:hAnsiTheme="majorHAnsi" w:cstheme="majorBidi"/>
          <w:sz w:val="22"/>
          <w:szCs w:val="22"/>
          <w:rtl w:val="0"/>
          <w:lang w:val="fr" w:eastAsia="nl-NL" w:bidi="nl-NL"/>
        </w:rPr>
        <w:t>Les travailleurs intérimaires ne doivent être invités aux réunions de l'entreprise que s'ils en ont besoin.</w:t>
      </w:r>
    </w:p>
    <w:p w:rsidR="007A1771" w:rsidRPr="0051357C" w:rsidP="6B3824FD" w14:paraId="245716F8" w14:textId="41DC5DC8">
      <w:pPr>
        <w:pStyle w:val="ListParagraph"/>
        <w:numPr>
          <w:ilvl w:val="0"/>
          <w:numId w:val="5"/>
        </w:numPr>
        <w:bidi w:val="0"/>
        <w:jc w:val="both"/>
        <w:rPr>
          <w:rFonts w:eastAsia="Calibri" w:asciiTheme="majorHAnsi" w:hAnsiTheme="majorHAnsi" w:cstheme="majorBidi"/>
          <w:sz w:val="22"/>
          <w:szCs w:val="22"/>
          <w:lang w:val="en-GB" w:eastAsia="nl-NL" w:bidi="nl-NL"/>
        </w:rPr>
      </w:pPr>
      <w:r w:rsidRPr="6B3824FD">
        <w:rPr>
          <w:rFonts w:asciiTheme="majorHAnsi" w:hAnsiTheme="majorHAnsi" w:cstheme="majorBidi"/>
          <w:sz w:val="22"/>
          <w:szCs w:val="22"/>
          <w:rtl w:val="0"/>
          <w:lang w:val="fr"/>
        </w:rPr>
        <w:t>Les travailleurs intérimaires ne doivent pas assister aux événements, aux formations ou aux manifestations extérieures de l'entreprise.</w:t>
      </w:r>
    </w:p>
    <w:p w:rsidR="0059487B" w:rsidP="007A1771" w14:paraId="7B6E47E8" w14:textId="77777777">
      <w:pPr>
        <w:jc w:val="both"/>
        <w:rPr>
          <w:rFonts w:eastAsia="Calibri" w:asciiTheme="majorHAnsi" w:hAnsiTheme="majorHAnsi" w:cstheme="majorBidi"/>
          <w:sz w:val="22"/>
          <w:szCs w:val="22"/>
          <w:lang w:eastAsia="nl-NL" w:bidi="nl-NL"/>
        </w:rPr>
      </w:pPr>
    </w:p>
    <w:p w:rsidR="00786AC3" w:rsidRPr="0051357C" w:rsidP="007A1771" w14:paraId="1FCAF5E0" w14:textId="60B15879">
      <w:pPr>
        <w:bidi w:val="0"/>
        <w:jc w:val="both"/>
        <w:rPr>
          <w:rFonts w:eastAsia="Calibri" w:asciiTheme="majorHAnsi" w:hAnsiTheme="majorHAnsi" w:cstheme="majorBidi"/>
          <w:sz w:val="22"/>
          <w:szCs w:val="22"/>
          <w:lang w:eastAsia="nl-NL" w:bidi="nl-NL"/>
        </w:rPr>
      </w:pPr>
      <w:r>
        <w:rPr>
          <w:rFonts w:eastAsia="Calibri" w:asciiTheme="majorHAnsi" w:hAnsiTheme="majorHAnsi" w:cstheme="majorBidi"/>
          <w:sz w:val="22"/>
          <w:szCs w:val="22"/>
          <w:rtl w:val="0"/>
          <w:lang w:val="fr" w:eastAsia="nl-NL" w:bidi="nl-NL"/>
        </w:rPr>
        <w:t>Toute exception à ce qui précède doit être approuvée par le service juridique.</w:t>
      </w:r>
    </w:p>
    <w:p w:rsidR="00851A67" w:rsidRPr="0051357C" w:rsidP="0051357C" w14:paraId="2213E55B" w14:textId="77777777">
      <w:pPr>
        <w:pStyle w:val="Heading3"/>
        <w:numPr>
          <w:ilvl w:val="0"/>
          <w:numId w:val="0"/>
        </w:numPr>
        <w:bidi w:val="0"/>
        <w:jc w:val="both"/>
        <w:rPr>
          <w:rFonts w:eastAsia="Calibri"/>
          <w:i/>
          <w:iCs/>
          <w:color w:val="auto"/>
          <w:sz w:val="22"/>
          <w:szCs w:val="22"/>
          <w:lang w:eastAsia="nl-NL" w:bidi="nl-NL"/>
        </w:rPr>
      </w:pPr>
      <w:bookmarkEnd w:id="100"/>
      <w:bookmarkStart w:id="101" w:name="_Toc256000026"/>
      <w:r w:rsidRPr="0051357C">
        <w:rPr>
          <w:rFonts w:eastAsia="Calibri"/>
          <w:i/>
          <w:iCs/>
          <w:color w:val="auto"/>
          <w:sz w:val="22"/>
          <w:szCs w:val="22"/>
          <w:rtl w:val="0"/>
          <w:lang w:val="fr" w:eastAsia="nl-NL" w:bidi="nl-NL"/>
        </w:rPr>
        <w:t>Instructions d'embarquement</w:t>
      </w:r>
      <w:bookmarkEnd w:id="101"/>
    </w:p>
    <w:p w:rsidR="00851A67" w:rsidRPr="0051357C" w:rsidP="6B3824FD" w14:paraId="2D36F5A0" w14:textId="4CF8A3CD">
      <w:pPr>
        <w:bidi w:val="0"/>
        <w:jc w:val="both"/>
        <w:rPr>
          <w:rFonts w:eastAsia="Calibri" w:asciiTheme="majorHAnsi" w:hAnsiTheme="majorHAnsi" w:cstheme="majorBidi"/>
          <w:sz w:val="22"/>
          <w:szCs w:val="22"/>
          <w:lang w:eastAsia="nl-NL" w:bidi="nl-NL"/>
        </w:rPr>
      </w:pPr>
      <w:r w:rsidRPr="6B3824FD">
        <w:rPr>
          <w:rFonts w:eastAsia="Calibri" w:asciiTheme="majorHAnsi" w:hAnsiTheme="majorHAnsi" w:cstheme="majorBidi"/>
          <w:sz w:val="22"/>
          <w:szCs w:val="22"/>
          <w:rtl w:val="0"/>
          <w:lang w:val="fr" w:eastAsia="nl-NL" w:bidi="nl-NL"/>
        </w:rPr>
        <w:t>Le contrôle des antécédents à effectuer avant l'intégration du travailleur intérimaire se fera conformément à la législation locale et à la politique applicable de l'entreprise. Les travailleurs intérimaires recevront tout l'équipement nécessaire (par exemple, des ordinateurs portables).</w:t>
      </w:r>
    </w:p>
    <w:p w:rsidR="00851A67" w:rsidRPr="0051357C" w:rsidP="0051357C" w14:paraId="3079D8DD" w14:textId="77777777">
      <w:pPr>
        <w:pStyle w:val="Heading3"/>
        <w:numPr>
          <w:ilvl w:val="0"/>
          <w:numId w:val="0"/>
        </w:numPr>
        <w:bidi w:val="0"/>
        <w:jc w:val="both"/>
        <w:rPr>
          <w:rFonts w:eastAsia="Calibri"/>
          <w:i/>
          <w:iCs/>
          <w:color w:val="auto"/>
          <w:sz w:val="22"/>
          <w:szCs w:val="22"/>
          <w:lang w:eastAsia="nl-NL" w:bidi="nl-NL"/>
        </w:rPr>
      </w:pPr>
      <w:bookmarkStart w:id="102" w:name="_Toc256000027"/>
      <w:r w:rsidRPr="0051357C">
        <w:rPr>
          <w:rFonts w:eastAsia="Calibri"/>
          <w:i/>
          <w:iCs/>
          <w:color w:val="auto"/>
          <w:sz w:val="22"/>
          <w:szCs w:val="22"/>
          <w:rtl w:val="0"/>
          <w:lang w:val="fr" w:eastAsia="nl-NL" w:bidi="nl-NL"/>
        </w:rPr>
        <w:t>Délai de préavis</w:t>
      </w:r>
      <w:bookmarkEnd w:id="102"/>
      <w:r w:rsidRPr="0051357C">
        <w:rPr>
          <w:rFonts w:eastAsia="Calibri"/>
          <w:i/>
          <w:iCs/>
          <w:color w:val="auto"/>
          <w:sz w:val="22"/>
          <w:szCs w:val="22"/>
          <w:rtl w:val="0"/>
          <w:lang w:val="fr" w:eastAsia="nl-NL" w:bidi="nl-NL"/>
        </w:rPr>
        <w:t xml:space="preserve"> </w:t>
      </w:r>
    </w:p>
    <w:p w:rsidR="00851A67" w:rsidRPr="0051357C" w:rsidP="6B3824FD" w14:paraId="754DA01E" w14:textId="2A3BBC1A">
      <w:pPr>
        <w:bidi w:val="0"/>
        <w:jc w:val="both"/>
        <w:rPr>
          <w:rFonts w:eastAsia="Calibri" w:asciiTheme="majorHAnsi" w:hAnsiTheme="majorHAnsi" w:cstheme="majorBidi"/>
          <w:sz w:val="22"/>
          <w:szCs w:val="22"/>
          <w:lang w:eastAsia="nl-NL" w:bidi="nl-NL"/>
        </w:rPr>
      </w:pPr>
      <w:r w:rsidRPr="6B3824FD">
        <w:rPr>
          <w:rFonts w:eastAsia="Calibri" w:asciiTheme="majorHAnsi" w:hAnsiTheme="majorHAnsi" w:cstheme="majorBidi"/>
          <w:sz w:val="22"/>
          <w:szCs w:val="22"/>
          <w:rtl w:val="0"/>
          <w:lang w:val="fr" w:eastAsia="nl-NL" w:bidi="nl-NL"/>
        </w:rPr>
        <w:t xml:space="preserve">Pour la procédure d'expatriation, le travailleur intérimaire est soumis à la durée légale minimale prévue par la législation de chaque pays. </w:t>
      </w:r>
    </w:p>
    <w:p w:rsidR="00851A67" w:rsidRPr="0051357C" w:rsidP="0051357C" w14:paraId="3E04A6F8" w14:textId="77777777">
      <w:pPr>
        <w:pStyle w:val="Heading3"/>
        <w:numPr>
          <w:ilvl w:val="0"/>
          <w:numId w:val="0"/>
        </w:numPr>
        <w:bidi w:val="0"/>
        <w:jc w:val="both"/>
        <w:rPr>
          <w:rFonts w:eastAsia="Calibri"/>
          <w:i/>
          <w:iCs/>
          <w:color w:val="auto"/>
          <w:sz w:val="22"/>
          <w:szCs w:val="22"/>
          <w:lang w:eastAsia="nl-NL" w:bidi="nl-NL"/>
        </w:rPr>
      </w:pPr>
      <w:bookmarkStart w:id="103" w:name="_Toc256000028"/>
      <w:r w:rsidRPr="0051357C">
        <w:rPr>
          <w:rFonts w:eastAsia="Calibri"/>
          <w:i/>
          <w:iCs/>
          <w:color w:val="auto"/>
          <w:sz w:val="22"/>
          <w:szCs w:val="22"/>
          <w:rtl w:val="0"/>
          <w:lang w:val="fr" w:eastAsia="nl-NL" w:bidi="nl-NL"/>
        </w:rPr>
        <w:t>Transferts temporaires vers des postes permanents (temp2perm)</w:t>
      </w:r>
      <w:bookmarkEnd w:id="103"/>
    </w:p>
    <w:p w:rsidR="00851A67" w:rsidRPr="0051357C" w:rsidP="00851A67" w14:paraId="623318CE" w14:textId="3CFE2F11">
      <w:pPr>
        <w:bidi w:val="0"/>
        <w:jc w:val="both"/>
        <w:rPr>
          <w:rFonts w:eastAsia="Calibri" w:asciiTheme="majorHAnsi" w:hAnsiTheme="majorHAnsi" w:cstheme="majorBidi"/>
          <w:sz w:val="22"/>
          <w:szCs w:val="22"/>
          <w:lang w:eastAsia="nl-NL" w:bidi="nl-NL"/>
        </w:rPr>
      </w:pPr>
      <w:r>
        <w:rPr>
          <w:rFonts w:eastAsia="Calibri" w:asciiTheme="majorHAnsi" w:hAnsiTheme="majorHAnsi" w:cstheme="majorBidi"/>
          <w:sz w:val="22"/>
          <w:szCs w:val="22"/>
          <w:rtl w:val="0"/>
          <w:lang w:val="fr" w:eastAsia="nl-NL" w:bidi="nl-NL"/>
        </w:rPr>
        <w:t xml:space="preserve">À l'exception des travailleurs occasionnels indépendants, tels que les freelances, toutes les missions des travailleurs occasionnels doivent comporter une clause de passage du temporaire au permanent, en vertu de laquelle Brink's a la possibilité d'offrir aux travailleurs un poste permanent après une période de temps déterminée. </w:t>
      </w:r>
    </w:p>
    <w:p w:rsidR="0036756B" w:rsidRPr="00593902" w:rsidP="00820532" w14:paraId="6ADCCF0A" w14:textId="4C865D92">
      <w:pPr>
        <w:pStyle w:val="Heading1"/>
        <w:bidi w:val="0"/>
        <w:rPr>
          <w:rFonts w:cstheme="majorHAnsi"/>
          <w:color w:val="auto"/>
        </w:rPr>
      </w:pPr>
      <w:bookmarkStart w:id="104" w:name="_Toc256000029"/>
      <w:r w:rsidRPr="00593902">
        <w:rPr>
          <w:rFonts w:cstheme="majorHAnsi"/>
          <w:color w:val="auto"/>
          <w:rtl w:val="0"/>
          <w:lang w:val="fr"/>
        </w:rPr>
        <w:t>RÔLES ET RESPONSABILITÉS</w:t>
      </w:r>
      <w:bookmarkEnd w:id="104"/>
    </w:p>
    <w:p w:rsidR="006C341A" w:rsidRPr="0074239A" w:rsidP="006C341A" w14:paraId="76F5FC2F" w14:textId="77777777">
      <w:pPr>
        <w:rPr>
          <w:rFonts w:asciiTheme="majorHAnsi" w:hAnsiTheme="majorHAnsi" w:cstheme="majorHAnsi"/>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0"/>
        <w:gridCol w:w="6480"/>
      </w:tblGrid>
      <w:tr w14:paraId="420F7786" w14:textId="77777777" w:rsidTr="6B3824FD">
        <w:tblPrEx>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4050" w:type="dxa"/>
            <w:shd w:val="clear" w:color="auto" w:fill="BCD3EE"/>
            <w:vAlign w:val="center"/>
            <w:hideMark/>
          </w:tcPr>
          <w:p w:rsidR="006C341A" w:rsidRPr="0074239A" w:rsidP="6B3824FD" w14:paraId="1A4CF6DB" w14:textId="77777777">
            <w:pPr>
              <w:bidi w:val="0"/>
              <w:jc w:val="center"/>
              <w:rPr>
                <w:rFonts w:asciiTheme="majorHAnsi" w:hAnsiTheme="majorHAnsi" w:cstheme="majorBidi"/>
                <w:b/>
                <w:bCs/>
                <w:color w:val="000000"/>
                <w:sz w:val="22"/>
                <w:szCs w:val="22"/>
              </w:rPr>
            </w:pPr>
            <w:r w:rsidRPr="6B3824FD">
              <w:rPr>
                <w:rFonts w:asciiTheme="majorHAnsi" w:hAnsiTheme="majorHAnsi" w:cstheme="majorBidi"/>
                <w:b/>
                <w:bCs/>
                <w:color w:val="000000" w:themeColor="text1"/>
                <w:sz w:val="22"/>
                <w:szCs w:val="22"/>
                <w:rtl w:val="0"/>
                <w:lang w:val="fr"/>
              </w:rPr>
              <w:t>Responsable</w:t>
            </w:r>
          </w:p>
        </w:tc>
        <w:tc>
          <w:tcPr>
            <w:tcW w:w="6480" w:type="dxa"/>
            <w:shd w:val="clear" w:color="auto" w:fill="BCD3EE"/>
            <w:vAlign w:val="center"/>
            <w:hideMark/>
          </w:tcPr>
          <w:p w:rsidR="006C341A" w:rsidRPr="0074239A" w:rsidP="00E74EF7" w14:paraId="15A6FB9D" w14:textId="77777777">
            <w:pPr>
              <w:bidi w:val="0"/>
              <w:jc w:val="center"/>
              <w:rPr>
                <w:rFonts w:asciiTheme="majorHAnsi" w:hAnsiTheme="majorHAnsi" w:cstheme="majorHAnsi"/>
                <w:b/>
                <w:bCs/>
                <w:color w:val="000000"/>
                <w:sz w:val="22"/>
                <w:szCs w:val="22"/>
              </w:rPr>
            </w:pPr>
            <w:r w:rsidRPr="0074239A">
              <w:rPr>
                <w:rFonts w:asciiTheme="majorHAnsi" w:hAnsiTheme="majorHAnsi" w:cstheme="majorHAnsi"/>
                <w:b/>
                <w:bCs/>
                <w:color w:val="000000"/>
                <w:sz w:val="22"/>
                <w:szCs w:val="22"/>
                <w:rtl w:val="0"/>
                <w:lang w:val="fr"/>
              </w:rPr>
              <w:t>Détails</w:t>
            </w:r>
          </w:p>
        </w:tc>
      </w:tr>
      <w:tr w14:paraId="2EA03914" w14:textId="77777777" w:rsidTr="6B3824FD">
        <w:tblPrEx>
          <w:tblW w:w="10530" w:type="dxa"/>
          <w:tblInd w:w="-5" w:type="dxa"/>
          <w:tblLook w:val="04A0"/>
        </w:tblPrEx>
        <w:trPr>
          <w:trHeight w:val="629"/>
        </w:trPr>
        <w:tc>
          <w:tcPr>
            <w:tcW w:w="4050" w:type="dxa"/>
            <w:shd w:val="clear" w:color="auto" w:fill="auto"/>
            <w:vAlign w:val="center"/>
            <w:hideMark/>
          </w:tcPr>
          <w:p w:rsidR="006C341A" w:rsidRPr="0074239A" w:rsidP="00E74EF7" w14:paraId="66692013" w14:textId="14CC9538">
            <w:pPr>
              <w:bidi w:val="0"/>
              <w:rPr>
                <w:rFonts w:asciiTheme="majorHAnsi" w:hAnsiTheme="majorHAnsi" w:cstheme="majorHAnsi"/>
                <w:b/>
                <w:bCs/>
                <w:color w:val="000000"/>
                <w:sz w:val="22"/>
                <w:szCs w:val="22"/>
              </w:rPr>
            </w:pPr>
            <w:r>
              <w:rPr>
                <w:rFonts w:asciiTheme="majorHAnsi" w:hAnsiTheme="majorHAnsi" w:cstheme="majorHAnsi"/>
                <w:b/>
                <w:bCs/>
                <w:color w:val="000000"/>
                <w:sz w:val="22"/>
                <w:szCs w:val="22"/>
                <w:rtl w:val="0"/>
                <w:lang w:val="fr"/>
              </w:rPr>
              <w:t>Responsable d'unité opérationnelle ou responsable du recrutement</w:t>
            </w:r>
          </w:p>
        </w:tc>
        <w:tc>
          <w:tcPr>
            <w:tcW w:w="6480" w:type="dxa"/>
            <w:shd w:val="clear" w:color="auto" w:fill="auto"/>
            <w:vAlign w:val="center"/>
            <w:hideMark/>
          </w:tcPr>
          <w:p w:rsidR="006C341A" w:rsidRPr="0074239A" w:rsidP="6B3824FD" w14:paraId="6A007548" w14:textId="1EDCB281">
            <w:pPr>
              <w:bidi w:val="0"/>
              <w:rPr>
                <w:rFonts w:asciiTheme="majorHAnsi" w:hAnsiTheme="majorHAnsi" w:cstheme="majorBidi"/>
                <w:color w:val="000000"/>
                <w:sz w:val="22"/>
                <w:szCs w:val="22"/>
              </w:rPr>
            </w:pPr>
            <w:r w:rsidRPr="6B3824FD">
              <w:rPr>
                <w:rFonts w:asciiTheme="majorHAnsi" w:hAnsiTheme="majorHAnsi" w:cstheme="majorBidi"/>
                <w:color w:val="000000" w:themeColor="text1"/>
                <w:sz w:val="22"/>
                <w:szCs w:val="22"/>
                <w:rtl w:val="0"/>
                <w:lang w:val="fr"/>
              </w:rPr>
              <w:t>les processus de gestion, de sélection et d'embauche des employés occasionnels</w:t>
            </w:r>
          </w:p>
        </w:tc>
      </w:tr>
      <w:tr w14:paraId="424622EC" w14:textId="77777777" w:rsidTr="6B3824FD">
        <w:tblPrEx>
          <w:tblW w:w="10530" w:type="dxa"/>
          <w:tblInd w:w="-5" w:type="dxa"/>
          <w:tblLook w:val="04A0"/>
        </w:tblPrEx>
        <w:trPr>
          <w:trHeight w:val="440"/>
        </w:trPr>
        <w:tc>
          <w:tcPr>
            <w:tcW w:w="4050" w:type="dxa"/>
            <w:shd w:val="clear" w:color="auto" w:fill="auto"/>
            <w:vAlign w:val="center"/>
            <w:hideMark/>
          </w:tcPr>
          <w:p w:rsidR="006C341A" w:rsidRPr="0074239A" w:rsidP="00E74EF7" w14:paraId="53BA79A6" w14:textId="77777777">
            <w:pPr>
              <w:bidi w:val="0"/>
              <w:rPr>
                <w:rFonts w:asciiTheme="majorHAnsi" w:hAnsiTheme="majorHAnsi" w:cstheme="majorHAnsi"/>
                <w:b/>
                <w:bCs/>
                <w:color w:val="000000"/>
                <w:sz w:val="22"/>
                <w:szCs w:val="22"/>
              </w:rPr>
            </w:pPr>
            <w:r w:rsidRPr="0074239A">
              <w:rPr>
                <w:rFonts w:asciiTheme="majorHAnsi" w:hAnsiTheme="majorHAnsi" w:cstheme="majorHAnsi"/>
                <w:b/>
                <w:bCs/>
                <w:color w:val="000000"/>
                <w:sz w:val="22"/>
                <w:szCs w:val="22"/>
                <w:rtl w:val="0"/>
                <w:lang w:val="fr"/>
              </w:rPr>
              <w:t>Approvisionnement stratégique</w:t>
            </w:r>
          </w:p>
        </w:tc>
        <w:tc>
          <w:tcPr>
            <w:tcW w:w="6480" w:type="dxa"/>
            <w:shd w:val="clear" w:color="auto" w:fill="auto"/>
            <w:vAlign w:val="center"/>
            <w:hideMark/>
          </w:tcPr>
          <w:p w:rsidR="006C341A" w:rsidRPr="0074239A" w:rsidP="6B3824FD" w14:paraId="33D9B6CA" w14:textId="13B8AF0C">
            <w:pPr>
              <w:bidi w:val="0"/>
              <w:rPr>
                <w:rFonts w:asciiTheme="majorHAnsi" w:hAnsiTheme="majorHAnsi" w:cstheme="majorBidi"/>
                <w:color w:val="000000"/>
                <w:sz w:val="22"/>
                <w:szCs w:val="22"/>
              </w:rPr>
            </w:pPr>
            <w:r w:rsidRPr="6B3824FD">
              <w:rPr>
                <w:rFonts w:asciiTheme="majorHAnsi" w:hAnsiTheme="majorHAnsi" w:cstheme="majorBidi"/>
                <w:color w:val="000000" w:themeColor="text1"/>
                <w:sz w:val="22"/>
                <w:szCs w:val="22"/>
                <w:rtl w:val="0"/>
                <w:lang w:val="fr"/>
              </w:rPr>
              <w:t>Recherche de fournisseurs, négociation et interaction avec les fournisseurs concernés</w:t>
            </w:r>
          </w:p>
        </w:tc>
      </w:tr>
      <w:tr w14:paraId="1DB9FE8B" w14:textId="77777777" w:rsidTr="6B3824FD">
        <w:tblPrEx>
          <w:tblW w:w="10530" w:type="dxa"/>
          <w:tblInd w:w="-5" w:type="dxa"/>
          <w:tblLook w:val="04A0"/>
        </w:tblPrEx>
        <w:trPr>
          <w:trHeight w:val="530"/>
        </w:trPr>
        <w:tc>
          <w:tcPr>
            <w:tcW w:w="4050" w:type="dxa"/>
            <w:shd w:val="clear" w:color="auto" w:fill="auto"/>
            <w:vAlign w:val="center"/>
            <w:hideMark/>
          </w:tcPr>
          <w:p w:rsidR="006C341A" w:rsidRPr="0074239A" w:rsidP="00E74EF7" w14:paraId="17B692C6" w14:textId="77777777">
            <w:pPr>
              <w:bidi w:val="0"/>
              <w:rPr>
                <w:rFonts w:asciiTheme="majorHAnsi" w:hAnsiTheme="majorHAnsi" w:cstheme="majorHAnsi"/>
                <w:b/>
                <w:bCs/>
                <w:color w:val="000000"/>
                <w:sz w:val="22"/>
                <w:szCs w:val="22"/>
              </w:rPr>
            </w:pPr>
            <w:r w:rsidRPr="0074239A">
              <w:rPr>
                <w:rFonts w:asciiTheme="majorHAnsi" w:hAnsiTheme="majorHAnsi" w:cstheme="majorHAnsi"/>
                <w:b/>
                <w:bCs/>
                <w:color w:val="000000"/>
                <w:sz w:val="22"/>
                <w:szCs w:val="22"/>
                <w:rtl w:val="0"/>
                <w:lang w:val="fr"/>
              </w:rPr>
              <w:t>Équipes des RH et de l'approvisionnement stratégique</w:t>
            </w:r>
          </w:p>
        </w:tc>
        <w:tc>
          <w:tcPr>
            <w:tcW w:w="6480" w:type="dxa"/>
            <w:shd w:val="clear" w:color="auto" w:fill="auto"/>
            <w:vAlign w:val="center"/>
            <w:hideMark/>
          </w:tcPr>
          <w:p w:rsidR="006C341A" w:rsidRPr="0074239A" w:rsidP="6B3824FD" w14:paraId="52298401" w14:textId="2F200AF8">
            <w:pPr>
              <w:bidi w:val="0"/>
              <w:rPr>
                <w:rFonts w:asciiTheme="majorHAnsi" w:hAnsiTheme="majorHAnsi" w:cstheme="majorBidi"/>
                <w:color w:val="000000"/>
                <w:sz w:val="22"/>
                <w:szCs w:val="22"/>
              </w:rPr>
            </w:pPr>
            <w:r w:rsidRPr="6B3824FD">
              <w:rPr>
                <w:rFonts w:asciiTheme="majorHAnsi" w:hAnsiTheme="majorHAnsi" w:cstheme="majorBidi"/>
                <w:color w:val="000000" w:themeColor="text1"/>
                <w:sz w:val="22"/>
                <w:szCs w:val="22"/>
                <w:rtl w:val="0"/>
                <w:lang w:val="fr"/>
              </w:rPr>
              <w:t>Gestion des politiques et gouvernance</w:t>
            </w:r>
          </w:p>
        </w:tc>
      </w:tr>
      <w:tr w14:paraId="2F96DC99" w14:textId="77777777" w:rsidTr="6B3824FD">
        <w:tblPrEx>
          <w:tblW w:w="10530" w:type="dxa"/>
          <w:tblInd w:w="-5" w:type="dxa"/>
          <w:tblLook w:val="04A0"/>
        </w:tblPrEx>
        <w:trPr>
          <w:trHeight w:val="440"/>
        </w:trPr>
        <w:tc>
          <w:tcPr>
            <w:tcW w:w="4050" w:type="dxa"/>
            <w:shd w:val="clear" w:color="auto" w:fill="auto"/>
            <w:vAlign w:val="center"/>
            <w:hideMark/>
          </w:tcPr>
          <w:p w:rsidR="006C341A" w:rsidRPr="0074239A" w:rsidP="6B3824FD" w14:paraId="0366EEB8" w14:textId="31A91327">
            <w:pPr>
              <w:bidi w:val="0"/>
              <w:rPr>
                <w:rFonts w:asciiTheme="majorHAnsi" w:hAnsiTheme="majorHAnsi" w:cstheme="majorBidi"/>
                <w:b/>
                <w:bCs/>
                <w:color w:val="000000"/>
                <w:sz w:val="22"/>
                <w:szCs w:val="22"/>
              </w:rPr>
            </w:pPr>
            <w:r w:rsidRPr="6B3824FD">
              <w:rPr>
                <w:rFonts w:asciiTheme="majorHAnsi" w:hAnsiTheme="majorHAnsi" w:cstheme="majorBidi"/>
                <w:b/>
                <w:bCs/>
                <w:color w:val="000000" w:themeColor="text1"/>
                <w:sz w:val="22"/>
                <w:szCs w:val="22"/>
                <w:rtl w:val="0"/>
                <w:lang w:val="fr"/>
              </w:rPr>
              <w:t>Équipe de direction des RH mondiales et services juridiques</w:t>
            </w:r>
          </w:p>
        </w:tc>
        <w:tc>
          <w:tcPr>
            <w:tcW w:w="6480" w:type="dxa"/>
            <w:shd w:val="clear" w:color="auto" w:fill="auto"/>
            <w:vAlign w:val="center"/>
            <w:hideMark/>
          </w:tcPr>
          <w:p w:rsidR="006C341A" w:rsidRPr="0074239A" w:rsidP="6B3824FD" w14:paraId="1EE0C29E" w14:textId="7E6082E7">
            <w:pPr>
              <w:bidi w:val="0"/>
              <w:rPr>
                <w:rFonts w:asciiTheme="majorHAnsi" w:hAnsiTheme="majorHAnsi" w:cstheme="majorBidi"/>
                <w:color w:val="000000"/>
                <w:sz w:val="22"/>
                <w:szCs w:val="22"/>
              </w:rPr>
            </w:pPr>
            <w:r w:rsidRPr="6B3824FD">
              <w:rPr>
                <w:rFonts w:asciiTheme="majorHAnsi" w:hAnsiTheme="majorHAnsi" w:cstheme="majorBidi"/>
                <w:color w:val="000000" w:themeColor="text1"/>
                <w:sz w:val="22"/>
                <w:szCs w:val="22"/>
                <w:rtl w:val="0"/>
                <w:lang w:val="fr"/>
              </w:rPr>
              <w:t>Approbation de la politique globale ; approbation des écarts par rapport à la politique générale</w:t>
            </w:r>
          </w:p>
        </w:tc>
      </w:tr>
    </w:tbl>
    <w:p w:rsidR="006C341A" w:rsidRPr="0074239A" w:rsidP="006C341A" w14:paraId="76F97431" w14:textId="77777777">
      <w:pPr>
        <w:jc w:val="both"/>
        <w:rPr>
          <w:rFonts w:asciiTheme="majorHAnsi" w:hAnsiTheme="majorHAnsi" w:cstheme="majorHAnsi"/>
          <w:lang w:eastAsia="nl-NL" w:bidi="nl-NL"/>
        </w:rPr>
      </w:pPr>
    </w:p>
    <w:p w:rsidR="006C341A" w:rsidRPr="0051357C" w:rsidP="006C341A" w14:paraId="6DBEB811" w14:textId="03361EBC">
      <w:pPr>
        <w:bidi w:val="0"/>
        <w:jc w:val="both"/>
        <w:rPr>
          <w:rFonts w:asciiTheme="majorHAnsi" w:hAnsiTheme="majorHAnsi" w:cstheme="majorBidi"/>
          <w:sz w:val="22"/>
          <w:szCs w:val="22"/>
          <w:lang w:eastAsia="nl-NL" w:bidi="nl-NL"/>
        </w:rPr>
      </w:pPr>
      <w:r>
        <w:rPr>
          <w:rFonts w:asciiTheme="majorHAnsi" w:hAnsiTheme="majorHAnsi" w:cstheme="majorBidi"/>
          <w:sz w:val="22"/>
          <w:szCs w:val="22"/>
          <w:rtl w:val="0"/>
          <w:lang w:val="fr" w:eastAsia="nl-NL" w:bidi="nl-NL"/>
        </w:rPr>
        <w:t>Les questions relatives à la politique doivent être adressées à Angela Gambaro, vice-présidente de l'acquisition globale des talents.</w:t>
      </w:r>
    </w:p>
    <w:p w:rsidR="00355B9F" w:rsidRPr="0074239A" w:rsidP="006C341A" w14:paraId="18E3F5FF" w14:textId="77777777">
      <w:pPr>
        <w:jc w:val="both"/>
        <w:rPr>
          <w:rFonts w:asciiTheme="majorHAnsi" w:hAnsiTheme="majorHAnsi" w:cstheme="majorHAnsi"/>
          <w:sz w:val="22"/>
          <w:szCs w:val="22"/>
          <w:lang w:eastAsia="nl-NL" w:bidi="nl-NL"/>
        </w:rPr>
      </w:pPr>
    </w:p>
    <w:p w:rsidR="00355B9F" w:rsidRPr="0074239A" w:rsidP="00355B9F" w14:paraId="6F58F62B" w14:textId="77777777">
      <w:pPr>
        <w:bidi w:val="0"/>
        <w:spacing w:after="240"/>
        <w:rPr>
          <w:rFonts w:asciiTheme="majorHAnsi" w:hAnsiTheme="majorHAnsi" w:cstheme="majorHAnsi"/>
          <w:sz w:val="22"/>
          <w:szCs w:val="22"/>
        </w:rPr>
      </w:pPr>
      <w:r w:rsidRPr="0074239A">
        <w:rPr>
          <w:rFonts w:asciiTheme="majorHAnsi" w:hAnsiTheme="majorHAnsi" w:cstheme="majorHAnsi"/>
          <w:sz w:val="22"/>
          <w:szCs w:val="22"/>
          <w:rtl w:val="0"/>
          <w:lang w:val="fr"/>
        </w:rPr>
        <w:t xml:space="preserve">Les membres de l'équipe Global Strategic Sourcing sont énumérés ci-dessous : </w:t>
      </w:r>
    </w:p>
    <w:tbl>
      <w:tblPr>
        <w:tblStyle w:val="TableGrid"/>
        <w:tblW w:w="10315" w:type="dxa"/>
        <w:tblLook w:val="04A0"/>
      </w:tblPr>
      <w:tblGrid>
        <w:gridCol w:w="1885"/>
        <w:gridCol w:w="3090"/>
        <w:gridCol w:w="5340"/>
      </w:tblGrid>
      <w:tr w14:paraId="0B531E58" w14:textId="77777777" w:rsidTr="3F806670">
        <w:tblPrEx>
          <w:tblW w:w="10315" w:type="dxa"/>
          <w:tblLook w:val="04A0"/>
        </w:tblPrEx>
        <w:trPr>
          <w:trHeight w:val="353"/>
        </w:trPr>
        <w:tc>
          <w:tcPr>
            <w:tcW w:w="1885" w:type="dxa"/>
            <w:shd w:val="clear" w:color="auto" w:fill="BCD3EE"/>
          </w:tcPr>
          <w:p w:rsidR="00723B0B" w:rsidRPr="00593902" w:rsidP="00E74EF7" w14:paraId="042647DB" w14:textId="1FB5EF0B">
            <w:pPr>
              <w:bidi w:val="0"/>
              <w:jc w:val="center"/>
              <w:rPr>
                <w:rFonts w:asciiTheme="majorHAnsi" w:hAnsiTheme="majorHAnsi" w:cstheme="majorHAnsi"/>
                <w:b/>
              </w:rPr>
            </w:pPr>
            <w:r w:rsidRPr="00593902">
              <w:rPr>
                <w:rFonts w:asciiTheme="majorHAnsi" w:hAnsiTheme="majorHAnsi" w:cstheme="majorHAnsi"/>
                <w:b/>
                <w:rtl w:val="0"/>
                <w:lang w:val="fr"/>
              </w:rPr>
              <w:t>Pays</w:t>
            </w:r>
          </w:p>
        </w:tc>
        <w:tc>
          <w:tcPr>
            <w:tcW w:w="3090" w:type="dxa"/>
            <w:shd w:val="clear" w:color="auto" w:fill="BCD3EE"/>
            <w:vAlign w:val="center"/>
          </w:tcPr>
          <w:p w:rsidR="00723B0B" w:rsidRPr="00593902" w:rsidP="00E74EF7" w14:paraId="42E8CCC0" w14:textId="1DF96862">
            <w:pPr>
              <w:bidi w:val="0"/>
              <w:jc w:val="center"/>
              <w:rPr>
                <w:rFonts w:asciiTheme="majorHAnsi" w:hAnsiTheme="majorHAnsi" w:cstheme="majorHAnsi"/>
                <w:b/>
              </w:rPr>
            </w:pPr>
            <w:r w:rsidRPr="00593902">
              <w:rPr>
                <w:rFonts w:asciiTheme="majorHAnsi" w:hAnsiTheme="majorHAnsi" w:cstheme="majorHAnsi"/>
                <w:b/>
                <w:rtl w:val="0"/>
                <w:lang w:val="fr"/>
              </w:rPr>
              <w:t>Nom</w:t>
            </w:r>
          </w:p>
        </w:tc>
        <w:tc>
          <w:tcPr>
            <w:tcW w:w="5340" w:type="dxa"/>
            <w:shd w:val="clear" w:color="auto" w:fill="BCD3EE"/>
            <w:vAlign w:val="center"/>
          </w:tcPr>
          <w:p w:rsidR="00723B0B" w:rsidRPr="00593902" w:rsidP="00E74EF7" w14:paraId="443A4AC4" w14:textId="77777777">
            <w:pPr>
              <w:bidi w:val="0"/>
              <w:jc w:val="center"/>
              <w:rPr>
                <w:rFonts w:asciiTheme="majorHAnsi" w:hAnsiTheme="majorHAnsi" w:cstheme="majorHAnsi"/>
                <w:b/>
              </w:rPr>
            </w:pPr>
            <w:r w:rsidRPr="00593902">
              <w:rPr>
                <w:rFonts w:asciiTheme="majorHAnsi" w:hAnsiTheme="majorHAnsi" w:cstheme="majorHAnsi"/>
                <w:b/>
                <w:rtl w:val="0"/>
                <w:lang w:val="fr"/>
              </w:rPr>
              <w:t>Courriel</w:t>
            </w:r>
          </w:p>
        </w:tc>
      </w:tr>
      <w:tr w14:paraId="6193D3EA" w14:textId="77777777" w:rsidTr="3F806670">
        <w:tblPrEx>
          <w:tblW w:w="10315" w:type="dxa"/>
          <w:tblLook w:val="04A0"/>
        </w:tblPrEx>
        <w:trPr>
          <w:trHeight w:val="353"/>
        </w:trPr>
        <w:tc>
          <w:tcPr>
            <w:tcW w:w="1885" w:type="dxa"/>
          </w:tcPr>
          <w:p w:rsidR="00723B0B" w:rsidP="00484EE0" w14:paraId="1C9593B9" w14:textId="1E4ED097">
            <w:pPr>
              <w:bidi w:val="0"/>
              <w:jc w:val="center"/>
              <w:rPr>
                <w:rFonts w:asciiTheme="majorHAnsi" w:hAnsiTheme="majorHAnsi" w:cstheme="majorHAnsi"/>
              </w:rPr>
            </w:pPr>
            <w:r>
              <w:rPr>
                <w:rFonts w:asciiTheme="majorHAnsi" w:hAnsiTheme="majorHAnsi" w:cstheme="majorHAnsi"/>
                <w:rtl w:val="0"/>
                <w:lang w:val="fr"/>
              </w:rPr>
              <w:t>ÉTATS-UNIS</w:t>
            </w:r>
          </w:p>
        </w:tc>
        <w:tc>
          <w:tcPr>
            <w:tcW w:w="3090" w:type="dxa"/>
            <w:vAlign w:val="center"/>
          </w:tcPr>
          <w:p w:rsidR="00723B0B" w:rsidRPr="0074239A" w:rsidP="00484EE0" w14:paraId="0EBFC0FB" w14:textId="208800DB">
            <w:pPr>
              <w:bidi w:val="0"/>
              <w:jc w:val="center"/>
              <w:rPr>
                <w:rFonts w:asciiTheme="majorHAnsi" w:hAnsiTheme="majorHAnsi" w:cstheme="majorHAnsi"/>
              </w:rPr>
            </w:pPr>
            <w:r>
              <w:rPr>
                <w:rFonts w:asciiTheme="majorHAnsi" w:hAnsiTheme="majorHAnsi" w:cstheme="majorHAnsi"/>
                <w:rtl w:val="0"/>
                <w:lang w:val="fr"/>
              </w:rPr>
              <w:t>Hugh Mouden</w:t>
            </w:r>
          </w:p>
        </w:tc>
        <w:tc>
          <w:tcPr>
            <w:tcW w:w="5340" w:type="dxa"/>
            <w:vAlign w:val="center"/>
          </w:tcPr>
          <w:p w:rsidR="00723B0B" w:rsidRPr="0074239A" w:rsidP="00484EE0" w14:paraId="5B1C23BC" w14:textId="64C0FC41">
            <w:pPr>
              <w:bidi w:val="0"/>
              <w:jc w:val="center"/>
              <w:rPr>
                <w:rFonts w:asciiTheme="majorHAnsi" w:hAnsiTheme="majorHAnsi" w:cstheme="majorHAnsi"/>
              </w:rPr>
            </w:pPr>
            <w:r w:rsidRPr="00F03037">
              <w:rPr>
                <w:rFonts w:asciiTheme="majorHAnsi" w:hAnsiTheme="majorHAnsi" w:cstheme="majorHAnsi"/>
                <w:rtl w:val="0"/>
                <w:lang w:val="fr"/>
              </w:rPr>
              <w:t>hugh.mouden@brinksinc.com</w:t>
            </w:r>
          </w:p>
        </w:tc>
      </w:tr>
      <w:tr w14:paraId="17ED6D52" w14:textId="77777777" w:rsidTr="3F806670">
        <w:tblPrEx>
          <w:tblW w:w="10315" w:type="dxa"/>
          <w:tblLook w:val="04A0"/>
        </w:tblPrEx>
        <w:trPr>
          <w:trHeight w:val="353"/>
        </w:trPr>
        <w:tc>
          <w:tcPr>
            <w:tcW w:w="1885" w:type="dxa"/>
          </w:tcPr>
          <w:p w:rsidR="00723B0B" w:rsidRPr="0074239A" w:rsidP="0051357C" w14:paraId="2FB16E5F" w14:textId="30AB6701">
            <w:pPr>
              <w:bidi w:val="0"/>
              <w:jc w:val="center"/>
              <w:rPr>
                <w:rFonts w:asciiTheme="majorHAnsi" w:hAnsiTheme="majorHAnsi" w:cstheme="majorHAnsi"/>
              </w:rPr>
            </w:pPr>
            <w:r>
              <w:rPr>
                <w:rFonts w:asciiTheme="majorHAnsi" w:hAnsiTheme="majorHAnsi" w:cstheme="majorHAnsi"/>
                <w:rtl w:val="0"/>
                <w:lang w:val="fr"/>
              </w:rPr>
              <w:t>France</w:t>
            </w:r>
          </w:p>
        </w:tc>
        <w:tc>
          <w:tcPr>
            <w:tcW w:w="3090" w:type="dxa"/>
            <w:vAlign w:val="center"/>
          </w:tcPr>
          <w:p w:rsidR="00723B0B" w:rsidRPr="0074239A" w:rsidP="0051357C" w14:paraId="7F359211" w14:textId="4CCB5FA8">
            <w:pPr>
              <w:bidi w:val="0"/>
              <w:jc w:val="center"/>
              <w:rPr>
                <w:rFonts w:asciiTheme="majorHAnsi" w:hAnsiTheme="majorHAnsi" w:cstheme="majorHAnsi"/>
              </w:rPr>
            </w:pPr>
            <w:r>
              <w:rPr>
                <w:rFonts w:asciiTheme="majorHAnsi" w:hAnsiTheme="majorHAnsi" w:cstheme="majorHAnsi"/>
                <w:rtl w:val="0"/>
                <w:lang w:val="fr"/>
              </w:rPr>
              <w:t>Petronela Skorkova</w:t>
            </w:r>
          </w:p>
        </w:tc>
        <w:tc>
          <w:tcPr>
            <w:tcW w:w="5340" w:type="dxa"/>
            <w:vAlign w:val="center"/>
          </w:tcPr>
          <w:p w:rsidR="00723B0B" w:rsidRPr="0074239A" w:rsidP="00484EE0" w14:paraId="1C4B8301" w14:textId="294A6116">
            <w:pPr>
              <w:bidi w:val="0"/>
              <w:jc w:val="center"/>
              <w:rPr>
                <w:rFonts w:asciiTheme="majorHAnsi" w:hAnsiTheme="majorHAnsi" w:cstheme="majorHAnsi"/>
              </w:rPr>
            </w:pPr>
            <w:r w:rsidRPr="00723B0B">
              <w:rPr>
                <w:rFonts w:asciiTheme="majorHAnsi" w:hAnsiTheme="majorHAnsi" w:cstheme="majorHAnsi"/>
                <w:rtl w:val="0"/>
                <w:lang w:val="fr"/>
              </w:rPr>
              <w:t>p.skorkova@brinks.fr</w:t>
            </w:r>
          </w:p>
        </w:tc>
      </w:tr>
      <w:tr w14:paraId="286C64E2" w14:textId="77777777" w:rsidTr="3F806670">
        <w:tblPrEx>
          <w:tblW w:w="10315" w:type="dxa"/>
          <w:tblLook w:val="04A0"/>
        </w:tblPrEx>
        <w:trPr>
          <w:trHeight w:val="353"/>
        </w:trPr>
        <w:tc>
          <w:tcPr>
            <w:tcW w:w="1885" w:type="dxa"/>
          </w:tcPr>
          <w:p w:rsidR="00723B0B" w:rsidRPr="0074239A" w:rsidP="0051357C" w14:paraId="0E93F776" w14:textId="3432AA4D">
            <w:pPr>
              <w:bidi w:val="0"/>
              <w:jc w:val="center"/>
              <w:rPr>
                <w:rFonts w:asciiTheme="majorHAnsi" w:hAnsiTheme="majorHAnsi" w:cstheme="majorHAnsi"/>
              </w:rPr>
            </w:pPr>
            <w:r>
              <w:rPr>
                <w:rFonts w:asciiTheme="majorHAnsi" w:hAnsiTheme="majorHAnsi" w:cstheme="majorHAnsi"/>
                <w:rtl w:val="0"/>
                <w:lang w:val="fr"/>
              </w:rPr>
              <w:t>Pays-Bas</w:t>
            </w:r>
          </w:p>
        </w:tc>
        <w:tc>
          <w:tcPr>
            <w:tcW w:w="3090" w:type="dxa"/>
            <w:vAlign w:val="center"/>
          </w:tcPr>
          <w:p w:rsidR="00723B0B" w:rsidRPr="0074239A" w:rsidP="0051357C" w14:paraId="0A879FDC" w14:textId="343E4B2B">
            <w:pPr>
              <w:bidi w:val="0"/>
              <w:jc w:val="center"/>
              <w:rPr>
                <w:rFonts w:asciiTheme="majorHAnsi" w:hAnsiTheme="majorHAnsi" w:cstheme="majorHAnsi"/>
              </w:rPr>
            </w:pPr>
            <w:r>
              <w:rPr>
                <w:rFonts w:asciiTheme="majorHAnsi" w:hAnsiTheme="majorHAnsi" w:cstheme="majorHAnsi"/>
                <w:rtl w:val="0"/>
                <w:lang w:val="fr"/>
              </w:rPr>
              <w:t>Mohamed Barry</w:t>
            </w:r>
          </w:p>
        </w:tc>
        <w:tc>
          <w:tcPr>
            <w:tcW w:w="5340" w:type="dxa"/>
            <w:vAlign w:val="center"/>
          </w:tcPr>
          <w:p w:rsidR="00723B0B" w:rsidRPr="0074239A" w:rsidP="00484EE0" w14:paraId="482AAE45" w14:textId="4213879D">
            <w:pPr>
              <w:bidi w:val="0"/>
              <w:jc w:val="center"/>
              <w:rPr>
                <w:rFonts w:asciiTheme="majorHAnsi" w:hAnsiTheme="majorHAnsi" w:cstheme="majorHAnsi"/>
              </w:rPr>
            </w:pPr>
            <w:r w:rsidRPr="00484EE0">
              <w:rPr>
                <w:rFonts w:asciiTheme="majorHAnsi" w:hAnsiTheme="majorHAnsi" w:cstheme="majorHAnsi"/>
                <w:rtl w:val="0"/>
                <w:lang w:val="fr"/>
              </w:rPr>
              <w:t>mohamed.barry@brinks.com</w:t>
            </w:r>
          </w:p>
        </w:tc>
      </w:tr>
      <w:tr w14:paraId="113556F5" w14:textId="77777777" w:rsidTr="3F806670">
        <w:tblPrEx>
          <w:tblW w:w="10315" w:type="dxa"/>
          <w:tblLook w:val="04A0"/>
        </w:tblPrEx>
        <w:trPr>
          <w:trHeight w:val="353"/>
        </w:trPr>
        <w:tc>
          <w:tcPr>
            <w:tcW w:w="1885" w:type="dxa"/>
          </w:tcPr>
          <w:p w:rsidR="00484EE0" w:rsidP="00484EE0" w14:paraId="36E178DF" w14:textId="08564D46">
            <w:pPr>
              <w:bidi w:val="0"/>
              <w:jc w:val="center"/>
              <w:rPr>
                <w:rFonts w:asciiTheme="majorHAnsi" w:hAnsiTheme="majorHAnsi" w:cstheme="majorHAnsi"/>
              </w:rPr>
            </w:pPr>
            <w:r>
              <w:rPr>
                <w:rFonts w:asciiTheme="majorHAnsi" w:hAnsiTheme="majorHAnsi" w:cstheme="majorHAnsi"/>
                <w:rtl w:val="0"/>
                <w:lang w:val="fr"/>
              </w:rPr>
              <w:t>Roumanie</w:t>
            </w:r>
          </w:p>
        </w:tc>
        <w:tc>
          <w:tcPr>
            <w:tcW w:w="3090" w:type="dxa"/>
            <w:vAlign w:val="center"/>
          </w:tcPr>
          <w:p w:rsidR="00484EE0" w:rsidP="00484EE0" w14:paraId="02E6CFE4" w14:textId="598B20CD">
            <w:pPr>
              <w:bidi w:val="0"/>
              <w:jc w:val="center"/>
              <w:rPr>
                <w:rFonts w:asciiTheme="majorHAnsi" w:hAnsiTheme="majorHAnsi" w:cstheme="majorHAnsi"/>
              </w:rPr>
            </w:pPr>
            <w:r>
              <w:rPr>
                <w:rFonts w:asciiTheme="majorHAnsi" w:hAnsiTheme="majorHAnsi" w:cstheme="majorHAnsi"/>
                <w:rtl w:val="0"/>
                <w:lang w:val="fr"/>
              </w:rPr>
              <w:t>Raluca Miron</w:t>
            </w:r>
          </w:p>
        </w:tc>
        <w:tc>
          <w:tcPr>
            <w:tcW w:w="5340" w:type="dxa"/>
            <w:vAlign w:val="center"/>
          </w:tcPr>
          <w:p w:rsidR="00484EE0" w:rsidRPr="00484EE0" w:rsidP="00484EE0" w14:paraId="6BC21F3D" w14:textId="59A9B045">
            <w:pPr>
              <w:bidi w:val="0"/>
              <w:jc w:val="center"/>
              <w:rPr>
                <w:rFonts w:asciiTheme="majorHAnsi" w:hAnsiTheme="majorHAnsi" w:cstheme="majorHAnsi"/>
              </w:rPr>
            </w:pPr>
            <w:r w:rsidRPr="001F5235">
              <w:rPr>
                <w:rFonts w:asciiTheme="majorHAnsi" w:hAnsiTheme="majorHAnsi" w:cstheme="majorHAnsi"/>
                <w:rtl w:val="0"/>
                <w:lang w:val="fr"/>
              </w:rPr>
              <w:t>raluca.miron@brinks.com</w:t>
            </w:r>
          </w:p>
        </w:tc>
      </w:tr>
      <w:tr w14:paraId="22E85B7F" w14:textId="77777777" w:rsidTr="3F806670">
        <w:tblPrEx>
          <w:tblW w:w="10315" w:type="dxa"/>
          <w:tblLook w:val="04A0"/>
        </w:tblPrEx>
        <w:trPr>
          <w:trHeight w:val="353"/>
        </w:trPr>
        <w:tc>
          <w:tcPr>
            <w:tcW w:w="1885" w:type="dxa"/>
          </w:tcPr>
          <w:p w:rsidR="008B6C09" w:rsidP="005F53F9" w14:paraId="63324D16" w14:textId="1CA23EBD">
            <w:pPr>
              <w:bidi w:val="0"/>
              <w:jc w:val="center"/>
              <w:rPr>
                <w:rFonts w:asciiTheme="majorHAnsi" w:hAnsiTheme="majorHAnsi" w:cstheme="majorHAnsi"/>
              </w:rPr>
            </w:pPr>
            <w:r>
              <w:rPr>
                <w:rFonts w:asciiTheme="majorHAnsi" w:hAnsiTheme="majorHAnsi" w:cstheme="majorHAnsi"/>
                <w:rtl w:val="0"/>
                <w:lang w:val="fr"/>
              </w:rPr>
              <w:t>République tchèque</w:t>
            </w:r>
          </w:p>
        </w:tc>
        <w:tc>
          <w:tcPr>
            <w:tcW w:w="3090" w:type="dxa"/>
            <w:vAlign w:val="center"/>
          </w:tcPr>
          <w:p w:rsidR="008B6C09" w:rsidP="00484EE0" w14:paraId="1BC42F05" w14:textId="14736D2F">
            <w:pPr>
              <w:bidi w:val="0"/>
              <w:jc w:val="center"/>
              <w:rPr>
                <w:rFonts w:asciiTheme="majorHAnsi" w:hAnsiTheme="majorHAnsi" w:cstheme="majorHAnsi"/>
              </w:rPr>
            </w:pPr>
            <w:r>
              <w:rPr>
                <w:rFonts w:asciiTheme="majorHAnsi" w:hAnsiTheme="majorHAnsi" w:cstheme="majorHAnsi"/>
                <w:rtl w:val="0"/>
                <w:lang w:val="fr"/>
              </w:rPr>
              <w:t>Petr Zbozinek</w:t>
            </w:r>
          </w:p>
        </w:tc>
        <w:tc>
          <w:tcPr>
            <w:tcW w:w="5340" w:type="dxa"/>
            <w:vAlign w:val="center"/>
          </w:tcPr>
          <w:p w:rsidR="008B6C09" w:rsidRPr="00484EE0" w:rsidP="00484EE0" w14:paraId="504C871E" w14:textId="5E980B3D">
            <w:pPr>
              <w:bidi w:val="0"/>
              <w:jc w:val="center"/>
              <w:rPr>
                <w:rFonts w:asciiTheme="majorHAnsi" w:hAnsiTheme="majorHAnsi" w:cstheme="majorHAnsi"/>
              </w:rPr>
            </w:pPr>
            <w:r w:rsidRPr="00091223">
              <w:rPr>
                <w:rFonts w:asciiTheme="majorHAnsi" w:hAnsiTheme="majorHAnsi" w:cstheme="majorHAnsi"/>
                <w:rtl w:val="0"/>
                <w:lang w:val="fr"/>
              </w:rPr>
              <w:t>petr.zbozinek@brinks.com</w:t>
            </w:r>
          </w:p>
        </w:tc>
      </w:tr>
      <w:tr w14:paraId="04C01C4D" w14:textId="77777777" w:rsidTr="3F806670">
        <w:tblPrEx>
          <w:tblW w:w="10315" w:type="dxa"/>
          <w:tblLook w:val="04A0"/>
        </w:tblPrEx>
        <w:trPr>
          <w:trHeight w:val="353"/>
        </w:trPr>
        <w:tc>
          <w:tcPr>
            <w:tcW w:w="1885" w:type="dxa"/>
          </w:tcPr>
          <w:p w:rsidR="00F67881" w:rsidP="00484EE0" w14:paraId="3F6453A2" w14:textId="5B856BE3">
            <w:pPr>
              <w:bidi w:val="0"/>
              <w:jc w:val="center"/>
              <w:rPr>
                <w:rFonts w:asciiTheme="majorHAnsi" w:hAnsiTheme="majorHAnsi" w:cstheme="majorHAnsi"/>
              </w:rPr>
            </w:pPr>
            <w:r>
              <w:rPr>
                <w:rFonts w:asciiTheme="majorHAnsi" w:hAnsiTheme="majorHAnsi" w:cstheme="majorHAnsi"/>
                <w:rtl w:val="0"/>
                <w:lang w:val="fr"/>
              </w:rPr>
              <w:t>Brésil</w:t>
            </w:r>
          </w:p>
        </w:tc>
        <w:tc>
          <w:tcPr>
            <w:tcW w:w="3090" w:type="dxa"/>
            <w:vAlign w:val="center"/>
          </w:tcPr>
          <w:p w:rsidR="00F67881" w:rsidP="00484EE0" w14:paraId="06E94346" w14:textId="7F2F5865">
            <w:pPr>
              <w:bidi w:val="0"/>
              <w:jc w:val="center"/>
              <w:rPr>
                <w:rFonts w:asciiTheme="majorHAnsi" w:hAnsiTheme="majorHAnsi" w:cstheme="majorHAnsi"/>
              </w:rPr>
            </w:pPr>
            <w:r>
              <w:rPr>
                <w:rFonts w:asciiTheme="majorHAnsi" w:hAnsiTheme="majorHAnsi" w:cstheme="majorHAnsi"/>
                <w:rtl w:val="0"/>
                <w:lang w:val="fr"/>
              </w:rPr>
              <w:t>Adriano Bronzatto</w:t>
            </w:r>
          </w:p>
        </w:tc>
        <w:tc>
          <w:tcPr>
            <w:tcW w:w="5340" w:type="dxa"/>
            <w:vAlign w:val="center"/>
          </w:tcPr>
          <w:p w:rsidR="00F67881" w:rsidRPr="00484EE0" w:rsidP="00484EE0" w14:paraId="3DC68A9A" w14:textId="56580080">
            <w:pPr>
              <w:bidi w:val="0"/>
              <w:jc w:val="center"/>
              <w:rPr>
                <w:rFonts w:asciiTheme="majorHAnsi" w:hAnsiTheme="majorHAnsi" w:cstheme="majorHAnsi"/>
              </w:rPr>
            </w:pPr>
            <w:r w:rsidRPr="00AA4693">
              <w:rPr>
                <w:rFonts w:asciiTheme="majorHAnsi" w:hAnsiTheme="majorHAnsi" w:cstheme="majorHAnsi"/>
                <w:rtl w:val="0"/>
                <w:lang w:val="fr"/>
              </w:rPr>
              <w:t>adriano.bronzatto@brinks.com.br</w:t>
            </w:r>
          </w:p>
        </w:tc>
      </w:tr>
      <w:tr w14:paraId="42D3D8EA" w14:textId="77777777" w:rsidTr="3F806670">
        <w:tblPrEx>
          <w:tblW w:w="10315" w:type="dxa"/>
          <w:tblLook w:val="04A0"/>
        </w:tblPrEx>
        <w:trPr>
          <w:trHeight w:val="353"/>
        </w:trPr>
        <w:tc>
          <w:tcPr>
            <w:tcW w:w="1885" w:type="dxa"/>
          </w:tcPr>
          <w:p w:rsidR="00F67881" w:rsidP="00484EE0" w14:paraId="7B7D7274" w14:textId="1072AFEA">
            <w:pPr>
              <w:bidi w:val="0"/>
              <w:jc w:val="center"/>
              <w:rPr>
                <w:rFonts w:asciiTheme="majorHAnsi" w:hAnsiTheme="majorHAnsi" w:cstheme="majorHAnsi"/>
              </w:rPr>
            </w:pPr>
            <w:r>
              <w:rPr>
                <w:rFonts w:asciiTheme="majorHAnsi" w:hAnsiTheme="majorHAnsi" w:cstheme="majorHAnsi"/>
                <w:rtl w:val="0"/>
                <w:lang w:val="fr"/>
              </w:rPr>
              <w:t>Colombie</w:t>
            </w:r>
          </w:p>
        </w:tc>
        <w:tc>
          <w:tcPr>
            <w:tcW w:w="3090" w:type="dxa"/>
            <w:vAlign w:val="center"/>
          </w:tcPr>
          <w:p w:rsidR="00F67881" w:rsidP="00484EE0" w14:paraId="169CC0BB" w14:textId="22F2411F">
            <w:pPr>
              <w:bidi w:val="0"/>
              <w:jc w:val="center"/>
              <w:rPr>
                <w:rFonts w:asciiTheme="majorHAnsi" w:hAnsiTheme="majorHAnsi" w:cstheme="majorHAnsi"/>
              </w:rPr>
            </w:pPr>
            <w:r>
              <w:rPr>
                <w:rFonts w:asciiTheme="majorHAnsi" w:hAnsiTheme="majorHAnsi" w:cstheme="majorHAnsi"/>
                <w:rtl w:val="0"/>
                <w:lang w:val="fr"/>
              </w:rPr>
              <w:t>Erika Rodriguez</w:t>
            </w:r>
          </w:p>
        </w:tc>
        <w:tc>
          <w:tcPr>
            <w:tcW w:w="5340" w:type="dxa"/>
            <w:vAlign w:val="center"/>
          </w:tcPr>
          <w:p w:rsidR="00F67881" w:rsidRPr="00484EE0" w:rsidP="3F806670" w14:paraId="169A91B0" w14:textId="60824281">
            <w:pPr>
              <w:bidi w:val="0"/>
              <w:jc w:val="center"/>
              <w:rPr>
                <w:rFonts w:asciiTheme="majorHAnsi" w:hAnsiTheme="majorHAnsi" w:cstheme="majorBidi"/>
              </w:rPr>
            </w:pPr>
            <w:r w:rsidRPr="3F806670">
              <w:rPr>
                <w:rFonts w:asciiTheme="majorHAnsi" w:hAnsiTheme="majorHAnsi" w:cstheme="majorBidi"/>
                <w:rtl w:val="0"/>
                <w:lang w:val="fr"/>
              </w:rPr>
              <w:t>erika.rodriguez@brinks.com.com</w:t>
            </w:r>
          </w:p>
        </w:tc>
      </w:tr>
      <w:tr w14:paraId="7B5E2649" w14:textId="77777777" w:rsidTr="3F806670">
        <w:tblPrEx>
          <w:tblW w:w="10315" w:type="dxa"/>
          <w:tblLook w:val="04A0"/>
        </w:tblPrEx>
        <w:trPr>
          <w:trHeight w:val="197"/>
        </w:trPr>
        <w:tc>
          <w:tcPr>
            <w:tcW w:w="1885" w:type="dxa"/>
          </w:tcPr>
          <w:p w:rsidR="002B0A60" w:rsidP="00CF447D" w14:paraId="76BEDE5C" w14:textId="303EABB9">
            <w:pPr>
              <w:bidi w:val="0"/>
              <w:jc w:val="center"/>
              <w:rPr>
                <w:rFonts w:asciiTheme="majorHAnsi" w:hAnsiTheme="majorHAnsi" w:cstheme="majorHAnsi"/>
              </w:rPr>
            </w:pPr>
            <w:r>
              <w:rPr>
                <w:rFonts w:asciiTheme="majorHAnsi" w:hAnsiTheme="majorHAnsi" w:cstheme="majorHAnsi"/>
                <w:rtl w:val="0"/>
                <w:lang w:val="fr"/>
              </w:rPr>
              <w:t>Chili</w:t>
            </w:r>
          </w:p>
        </w:tc>
        <w:tc>
          <w:tcPr>
            <w:tcW w:w="3090" w:type="dxa"/>
            <w:vAlign w:val="center"/>
          </w:tcPr>
          <w:p w:rsidR="002B0A60" w:rsidP="00484EE0" w14:paraId="136575FF" w14:textId="284C8279">
            <w:pPr>
              <w:bidi w:val="0"/>
              <w:jc w:val="center"/>
              <w:rPr>
                <w:rFonts w:asciiTheme="majorHAnsi" w:hAnsiTheme="majorHAnsi" w:cstheme="majorHAnsi"/>
              </w:rPr>
            </w:pPr>
            <w:r w:rsidRPr="00262C88">
              <w:rPr>
                <w:rFonts w:asciiTheme="majorHAnsi" w:hAnsiTheme="majorHAnsi" w:cstheme="majorHAnsi"/>
                <w:rtl w:val="0"/>
                <w:lang w:val="fr"/>
              </w:rPr>
              <w:t>Eduardo Varetto Ramos</w:t>
            </w:r>
          </w:p>
        </w:tc>
        <w:tc>
          <w:tcPr>
            <w:tcW w:w="5340" w:type="dxa"/>
            <w:vAlign w:val="center"/>
          </w:tcPr>
          <w:p w:rsidR="002B0A60" w:rsidRPr="00262C88" w:rsidP="00484EE0" w14:paraId="366C7F58" w14:textId="3EE630B6">
            <w:pPr>
              <w:bidi w:val="0"/>
              <w:jc w:val="center"/>
              <w:rPr>
                <w:rFonts w:asciiTheme="majorHAnsi" w:hAnsiTheme="majorHAnsi" w:cstheme="majorHAnsi"/>
              </w:rPr>
            </w:pPr>
            <w:hyperlink r:id="rId11" w:history="1">
              <w:r w:rsidRPr="005F53F9">
                <w:rPr>
                  <w:rFonts w:asciiTheme="majorHAnsi" w:hAnsiTheme="majorHAnsi" w:cstheme="majorHAnsi"/>
                  <w:rtl w:val="0"/>
                  <w:lang w:val="fr"/>
                </w:rPr>
                <w:t>EVaretto@brinks.com</w:t>
              </w:r>
            </w:hyperlink>
          </w:p>
        </w:tc>
      </w:tr>
      <w:tr w14:paraId="49EEEE0E" w14:textId="77777777" w:rsidTr="3F806670">
        <w:tblPrEx>
          <w:tblW w:w="10315" w:type="dxa"/>
          <w:tblLook w:val="04A0"/>
        </w:tblPrEx>
        <w:trPr>
          <w:trHeight w:val="353"/>
        </w:trPr>
        <w:tc>
          <w:tcPr>
            <w:tcW w:w="1885" w:type="dxa"/>
          </w:tcPr>
          <w:p w:rsidR="00072C53" w:rsidP="00CF447D" w14:paraId="7EF8515C" w14:textId="65FE69BF">
            <w:pPr>
              <w:bidi w:val="0"/>
              <w:jc w:val="center"/>
              <w:rPr>
                <w:rFonts w:asciiTheme="majorHAnsi" w:hAnsiTheme="majorHAnsi" w:cstheme="majorHAnsi"/>
              </w:rPr>
            </w:pPr>
            <w:r>
              <w:rPr>
                <w:rFonts w:asciiTheme="majorHAnsi" w:hAnsiTheme="majorHAnsi" w:cstheme="majorHAnsi"/>
                <w:rtl w:val="0"/>
                <w:lang w:val="fr"/>
              </w:rPr>
              <w:t>Mexique</w:t>
            </w:r>
          </w:p>
        </w:tc>
        <w:tc>
          <w:tcPr>
            <w:tcW w:w="3090" w:type="dxa"/>
            <w:vAlign w:val="center"/>
          </w:tcPr>
          <w:p w:rsidR="00072C53" w:rsidP="00484EE0" w14:paraId="175632BB" w14:textId="0B19DCC2">
            <w:pPr>
              <w:bidi w:val="0"/>
              <w:jc w:val="center"/>
              <w:rPr>
                <w:rFonts w:asciiTheme="majorHAnsi" w:hAnsiTheme="majorHAnsi" w:cstheme="majorHAnsi"/>
              </w:rPr>
            </w:pPr>
            <w:r>
              <w:rPr>
                <w:rFonts w:asciiTheme="majorHAnsi" w:hAnsiTheme="majorHAnsi" w:cstheme="majorHAnsi"/>
                <w:rtl w:val="0"/>
                <w:lang w:val="fr"/>
              </w:rPr>
              <w:t>Ricardo Madrazo</w:t>
            </w:r>
          </w:p>
        </w:tc>
        <w:tc>
          <w:tcPr>
            <w:tcW w:w="5340" w:type="dxa"/>
            <w:vAlign w:val="center"/>
          </w:tcPr>
          <w:p w:rsidR="00072C53" w:rsidRPr="00484EE0" w:rsidP="00484EE0" w14:paraId="60E4F098" w14:textId="0AE11C95">
            <w:pPr>
              <w:bidi w:val="0"/>
              <w:jc w:val="center"/>
              <w:rPr>
                <w:rFonts w:asciiTheme="majorHAnsi" w:hAnsiTheme="majorHAnsi" w:cstheme="majorHAnsi"/>
              </w:rPr>
            </w:pPr>
            <w:r w:rsidRPr="00CF447D">
              <w:rPr>
                <w:rFonts w:asciiTheme="majorHAnsi" w:hAnsiTheme="majorHAnsi" w:cstheme="majorHAnsi"/>
                <w:rtl w:val="0"/>
                <w:lang w:val="fr"/>
              </w:rPr>
              <w:t>ricardo.madrazod@panamericano.mx</w:t>
            </w:r>
          </w:p>
        </w:tc>
      </w:tr>
    </w:tbl>
    <w:p w:rsidR="00355B9F" w:rsidRPr="00B53FC1" w:rsidP="00B53FC1" w14:paraId="080245CB" w14:textId="787EEADA">
      <w:pPr>
        <w:pStyle w:val="Heading1"/>
        <w:bidi w:val="0"/>
        <w:rPr>
          <w:color w:val="auto"/>
        </w:rPr>
      </w:pPr>
      <w:bookmarkStart w:id="105" w:name="_Toc256000030"/>
      <w:r w:rsidRPr="00B53FC1">
        <w:rPr>
          <w:color w:val="auto"/>
          <w:rtl w:val="0"/>
          <w:lang w:val="fr"/>
        </w:rPr>
        <w:t>Lignes directrices pour l'adaptation au niveau local</w:t>
      </w:r>
      <w:bookmarkEnd w:id="105"/>
    </w:p>
    <w:p w:rsidR="000B76B4" w:rsidRPr="000B76B4" w:rsidP="000B76B4" w14:paraId="23B442AD" w14:textId="77777777"/>
    <w:p w:rsidR="00DC7C5A" w:rsidP="6B3824FD" w14:paraId="1FB170D1" w14:textId="0499E47E">
      <w:pPr>
        <w:bidi w:val="0"/>
        <w:rPr>
          <w:rFonts w:asciiTheme="majorHAnsi" w:hAnsiTheme="majorHAnsi" w:cstheme="majorBidi"/>
        </w:rPr>
      </w:pPr>
      <w:r w:rsidRPr="6B3824FD">
        <w:rPr>
          <w:rFonts w:asciiTheme="majorHAnsi" w:hAnsiTheme="majorHAnsi" w:cstheme="majorBidi"/>
          <w:rtl w:val="0"/>
          <w:lang w:val="fr"/>
        </w:rPr>
        <w:t>Cette politique a été définie au niveau mondial afin de créer une normalisation dans l'ensemble de l'entreprise. Cette politique vise à fournir à tous les pays de la Brink's des orientations générales et des garde-fous pour garantir une gestion intelligente et disciplinée des dépenses.</w:t>
      </w:r>
    </w:p>
    <w:p w:rsidR="00DC7C5A" w:rsidP="00DC7C5A" w14:paraId="10B430B0" w14:textId="77777777">
      <w:pPr>
        <w:bidi w:val="0"/>
        <w:rPr>
          <w:rFonts w:asciiTheme="majorHAnsi" w:hAnsiTheme="majorHAnsi" w:cstheme="majorHAnsi"/>
        </w:rPr>
      </w:pPr>
      <w:r w:rsidRPr="00DC7C5A">
        <w:rPr>
          <w:rFonts w:asciiTheme="majorHAnsi" w:hAnsiTheme="majorHAnsi" w:cstheme="majorHAnsi"/>
          <w:rtl w:val="0"/>
          <w:lang w:val="fr"/>
        </w:rPr>
        <w:br/>
        <w:t>Toutefois, dans le cadre de la mise en œuvre, chaque pays devra peut-être revoir cette politique et fournir un contexte supplémentaire sur la manière dont elle sera mise en œuvre pour tenir compte des variations locales. Il peut y avoir des scénarios où la politique globale :</w:t>
      </w:r>
    </w:p>
    <w:p w:rsidR="00EE0E28" w:rsidP="00DC7C5A" w14:paraId="747E2A12" w14:textId="77777777">
      <w:pPr>
        <w:rPr>
          <w:rFonts w:asciiTheme="majorHAnsi" w:hAnsiTheme="majorHAnsi" w:cstheme="majorHAnsi"/>
        </w:rPr>
      </w:pPr>
    </w:p>
    <w:p w:rsidR="00DC7C5A" w:rsidRPr="00DC7C5A" w:rsidP="00D20217" w14:paraId="7A9386F3" w14:textId="134A1EA0">
      <w:pPr>
        <w:pStyle w:val="ListParagraph"/>
        <w:numPr>
          <w:ilvl w:val="0"/>
          <w:numId w:val="7"/>
        </w:numPr>
        <w:bidi w:val="0"/>
        <w:rPr>
          <w:rFonts w:asciiTheme="majorHAnsi" w:hAnsiTheme="majorHAnsi" w:cstheme="majorHAnsi"/>
          <w:lang w:val="en-GB"/>
        </w:rPr>
      </w:pPr>
      <w:r w:rsidRPr="00DC7C5A">
        <w:rPr>
          <w:rFonts w:asciiTheme="majorHAnsi" w:hAnsiTheme="majorHAnsi" w:cstheme="majorHAnsi"/>
          <w:rtl w:val="0"/>
          <w:lang w:val="fr"/>
        </w:rPr>
        <w:t>conflits avec la conformité locale</w:t>
      </w:r>
    </w:p>
    <w:p w:rsidR="00DC7C5A" w:rsidRPr="00DC7C5A" w:rsidP="00D20217" w14:paraId="61EDB25B" w14:textId="75BD82D2">
      <w:pPr>
        <w:pStyle w:val="ListParagraph"/>
        <w:numPr>
          <w:ilvl w:val="0"/>
          <w:numId w:val="7"/>
        </w:numPr>
        <w:bidi w:val="0"/>
        <w:rPr>
          <w:rFonts w:asciiTheme="majorHAnsi" w:hAnsiTheme="majorHAnsi" w:cstheme="majorHAnsi"/>
          <w:lang w:val="en-GB"/>
        </w:rPr>
      </w:pPr>
      <w:r w:rsidRPr="00DC7C5A">
        <w:rPr>
          <w:rFonts w:asciiTheme="majorHAnsi" w:hAnsiTheme="majorHAnsi" w:cstheme="majorHAnsi"/>
          <w:rtl w:val="0"/>
          <w:lang w:val="fr"/>
        </w:rPr>
        <w:t>est moins stricte que les pratiques ou politiques locales existantes</w:t>
      </w:r>
    </w:p>
    <w:p w:rsidR="006A3873" w:rsidRPr="00DF21BE" w:rsidP="00DF21BE" w14:paraId="6F7E3D3D" w14:textId="3138E51D">
      <w:pPr>
        <w:pStyle w:val="ListParagraph"/>
        <w:numPr>
          <w:ilvl w:val="0"/>
          <w:numId w:val="7"/>
        </w:numPr>
        <w:bidi w:val="0"/>
        <w:rPr>
          <w:lang w:val="en-GB"/>
        </w:rPr>
      </w:pPr>
      <w:r w:rsidRPr="00DC7C5A">
        <w:rPr>
          <w:rFonts w:asciiTheme="majorHAnsi" w:hAnsiTheme="majorHAnsi" w:cstheme="majorHAnsi"/>
          <w:rtl w:val="0"/>
          <w:lang w:val="fr"/>
        </w:rPr>
        <w:t>fournit des orientations pour l'opérationnalisation par les pays - par exemple, si l'approbation du VP est requise, chaque pays peut déterminer quel VP spécifique, ou rôle équivalent, fournira cette approbation.</w:t>
      </w:r>
    </w:p>
    <w:p w:rsidR="008E5867" w:rsidP="00DF21BE" w14:paraId="6EA69033" w14:textId="77777777">
      <w:pPr>
        <w:rPr>
          <w:rFonts w:ascii="Calibri (heading)" w:hAnsi="Calibri (heading)"/>
          <w:lang w:val="en-GB"/>
        </w:rPr>
      </w:pPr>
    </w:p>
    <w:p w:rsidR="00DF21BE" w:rsidP="00DF21BE" w14:paraId="72B5449E" w14:textId="317349EC">
      <w:pPr>
        <w:bidi w:val="0"/>
        <w:rPr>
          <w:rFonts w:ascii="Calibri (heading)" w:hAnsi="Calibri (heading)"/>
          <w:lang w:val="en-GB"/>
        </w:rPr>
      </w:pPr>
      <w:r w:rsidRPr="008E5867">
        <w:rPr>
          <w:rFonts w:ascii="Calibri (heading)" w:hAnsi="Calibri (heading)"/>
          <w:rtl w:val="0"/>
          <w:lang w:val="fr"/>
        </w:rPr>
        <w:t>Dans les cas où les lois, politiques ou pratiques locales entrent en conflit avec la politique mondiale en matière de personnel intérimaire, les lois locales l'emportent sur la présente politique.</w:t>
      </w:r>
    </w:p>
    <w:p w:rsidR="0040024C" w:rsidP="0040024C" w14:paraId="5B44A417" w14:textId="77777777">
      <w:pPr>
        <w:pStyle w:val="paragraph"/>
        <w:spacing w:before="0" w:beforeAutospacing="0" w:after="0" w:afterAutospacing="0"/>
        <w:textAlignment w:val="baseline"/>
        <w:rPr>
          <w:rFonts w:ascii="Calibri" w:hAnsi="Calibri" w:cs="Calibri"/>
          <w:b/>
          <w:bCs/>
          <w:sz w:val="28"/>
          <w:szCs w:val="28"/>
        </w:rPr>
      </w:pPr>
    </w:p>
    <w:p w:rsidR="0040024C" w:rsidRPr="002436BF" w:rsidP="00592AE0" w14:paraId="37B55440" w14:textId="76D81904">
      <w:pPr>
        <w:pStyle w:val="Heading2"/>
        <w:numPr>
          <w:ilvl w:val="0"/>
          <w:numId w:val="0"/>
        </w:numPr>
        <w:bidi w:val="0"/>
        <w:rPr>
          <w:color w:val="auto"/>
        </w:rPr>
      </w:pPr>
      <w:bookmarkStart w:id="106" w:name="_Toc256000031"/>
      <w:r w:rsidRPr="002436BF">
        <w:rPr>
          <w:color w:val="auto"/>
          <w:rtl w:val="0"/>
          <w:lang w:val="fr"/>
        </w:rPr>
        <w:t>Les étapes de l'adaptation</w:t>
      </w:r>
      <w:bookmarkEnd w:id="106"/>
    </w:p>
    <w:p w:rsidR="0040024C" w:rsidRPr="00E51450" w:rsidP="00AC3259" w14:paraId="426DDDF0" w14:textId="77777777">
      <w:pPr>
        <w:pStyle w:val="Heading3"/>
        <w:numPr>
          <w:ilvl w:val="0"/>
          <w:numId w:val="0"/>
        </w:numPr>
        <w:bidi w:val="0"/>
        <w:rPr>
          <w:rFonts w:ascii="Calibri" w:hAnsi="Calibri" w:cs="Calibri"/>
          <w:color w:val="auto"/>
        </w:rPr>
      </w:pPr>
      <w:bookmarkStart w:id="107" w:name="_Toc256000032"/>
      <w:r w:rsidRPr="00E51450">
        <w:rPr>
          <w:rFonts w:ascii="Calibri" w:hAnsi="Calibri" w:cs="Calibri"/>
          <w:color w:val="auto"/>
          <w:rtl w:val="0"/>
          <w:lang w:val="fr"/>
        </w:rPr>
        <w:t>1. Examen et évaluation</w:t>
      </w:r>
      <w:bookmarkEnd w:id="107"/>
    </w:p>
    <w:p w:rsidR="0040024C" w:rsidRPr="00E67163" w:rsidP="0040024C" w14:paraId="0BE80CFE" w14:textId="77777777">
      <w:pPr>
        <w:pStyle w:val="paragraph"/>
        <w:numPr>
          <w:ilvl w:val="0"/>
          <w:numId w:val="8"/>
        </w:numPr>
        <w:bidi w:val="0"/>
        <w:spacing w:before="0" w:beforeAutospacing="0" w:after="0" w:afterAutospacing="0"/>
        <w:textAlignment w:val="baseline"/>
        <w:rPr>
          <w:rFonts w:ascii="Calibri" w:hAnsi="Calibri" w:cs="Calibri"/>
        </w:rPr>
      </w:pPr>
      <w:r w:rsidRPr="00E67163">
        <w:rPr>
          <w:rFonts w:ascii="Calibri" w:hAnsi="Calibri" w:cs="Calibri"/>
          <w:rtl w:val="0"/>
          <w:lang w:val="fr"/>
        </w:rPr>
        <w:t>Analyse</w:t>
      </w:r>
      <w:r w:rsidRPr="00E67163">
        <w:rPr>
          <w:rFonts w:ascii="Calibri" w:hAnsi="Calibri" w:cs="Calibri"/>
          <w:b/>
          <w:bCs/>
          <w:rtl w:val="0"/>
          <w:lang w:val="fr"/>
        </w:rPr>
        <w:t xml:space="preserve"> </w:t>
      </w:r>
      <w:r w:rsidRPr="00E67163">
        <w:rPr>
          <w:rFonts w:ascii="Calibri" w:hAnsi="Calibri" w:cs="Calibri"/>
          <w:rtl w:val="0"/>
          <w:lang w:val="fr"/>
        </w:rPr>
        <w:t>des lacunes : Identifier les domaines dans lesquels la politique globale :</w:t>
      </w:r>
    </w:p>
    <w:p w:rsidR="0040024C" w:rsidRPr="00E67163" w:rsidP="0040024C" w14:paraId="604726B7" w14:textId="77777777">
      <w:pPr>
        <w:pStyle w:val="paragraph"/>
        <w:numPr>
          <w:ilvl w:val="1"/>
          <w:numId w:val="8"/>
        </w:numPr>
        <w:bidi w:val="0"/>
        <w:spacing w:before="0" w:beforeAutospacing="0" w:after="0" w:afterAutospacing="0"/>
        <w:textAlignment w:val="baseline"/>
        <w:rPr>
          <w:rFonts w:ascii="Calibri" w:hAnsi="Calibri" w:cs="Calibri"/>
        </w:rPr>
      </w:pPr>
      <w:r w:rsidRPr="00E67163">
        <w:rPr>
          <w:rFonts w:ascii="Calibri" w:hAnsi="Calibri" w:cs="Calibri"/>
          <w:rtl w:val="0"/>
          <w:lang w:val="fr"/>
        </w:rPr>
        <w:t>Conflits avec les réglementations locales.</w:t>
      </w:r>
    </w:p>
    <w:p w:rsidR="0040024C" w:rsidRPr="00E67163" w:rsidP="0040024C" w14:paraId="24A52E66" w14:textId="77777777">
      <w:pPr>
        <w:pStyle w:val="paragraph"/>
        <w:numPr>
          <w:ilvl w:val="1"/>
          <w:numId w:val="8"/>
        </w:numPr>
        <w:bidi w:val="0"/>
        <w:spacing w:before="0" w:beforeAutospacing="0" w:after="0" w:afterAutospacing="0"/>
        <w:textAlignment w:val="baseline"/>
        <w:rPr>
          <w:rFonts w:ascii="Calibri" w:hAnsi="Calibri" w:cs="Calibri"/>
        </w:rPr>
      </w:pPr>
      <w:r w:rsidRPr="00E67163">
        <w:rPr>
          <w:rFonts w:ascii="Calibri" w:hAnsi="Calibri" w:cs="Calibri"/>
          <w:rtl w:val="0"/>
          <w:lang w:val="fr"/>
        </w:rPr>
        <w:t>est moins stricte que les politiques locales existantes.</w:t>
      </w:r>
    </w:p>
    <w:p w:rsidR="0040024C" w:rsidRPr="00E67163" w:rsidP="0040024C" w14:paraId="6FF1B274" w14:textId="77777777">
      <w:pPr>
        <w:pStyle w:val="paragraph"/>
        <w:numPr>
          <w:ilvl w:val="1"/>
          <w:numId w:val="8"/>
        </w:numPr>
        <w:bidi w:val="0"/>
        <w:spacing w:before="0" w:beforeAutospacing="0" w:after="0" w:afterAutospacing="0"/>
        <w:textAlignment w:val="baseline"/>
        <w:rPr>
          <w:rFonts w:ascii="Calibri" w:hAnsi="Calibri" w:cs="Calibri"/>
        </w:rPr>
      </w:pPr>
      <w:r w:rsidRPr="00E67163">
        <w:rPr>
          <w:rFonts w:ascii="Calibri" w:hAnsi="Calibri" w:cs="Calibri"/>
          <w:rtl w:val="0"/>
          <w:lang w:val="fr"/>
        </w:rPr>
        <w:t>Nécessite plus de clarté pour une application pratique.</w:t>
      </w:r>
    </w:p>
    <w:p w:rsidR="0040024C" w:rsidP="0040024C" w14:paraId="2657FD36" w14:textId="77777777">
      <w:pPr>
        <w:pStyle w:val="paragraph"/>
        <w:numPr>
          <w:ilvl w:val="0"/>
          <w:numId w:val="8"/>
        </w:numPr>
        <w:bidi w:val="0"/>
        <w:spacing w:before="0" w:beforeAutospacing="0" w:after="0" w:afterAutospacing="0"/>
        <w:textAlignment w:val="baseline"/>
        <w:rPr>
          <w:rFonts w:ascii="Calibri" w:hAnsi="Calibri" w:cs="Calibri"/>
        </w:rPr>
      </w:pPr>
      <w:r w:rsidRPr="00E67163">
        <w:rPr>
          <w:rFonts w:ascii="Calibri" w:hAnsi="Calibri" w:cs="Calibri"/>
          <w:rtl w:val="0"/>
          <w:lang w:val="fr"/>
        </w:rPr>
        <w:t>Contrôle</w:t>
      </w:r>
      <w:r w:rsidRPr="00E67163">
        <w:rPr>
          <w:rFonts w:ascii="Calibri" w:hAnsi="Calibri" w:cs="Calibri"/>
          <w:b/>
          <w:bCs/>
          <w:rtl w:val="0"/>
          <w:lang w:val="fr"/>
        </w:rPr>
        <w:t xml:space="preserve"> </w:t>
      </w:r>
      <w:r w:rsidRPr="00E67163">
        <w:rPr>
          <w:rFonts w:ascii="Calibri" w:hAnsi="Calibri" w:cs="Calibri"/>
          <w:rtl w:val="0"/>
          <w:lang w:val="fr"/>
        </w:rPr>
        <w:t>de conformité : Assurer l'alignement sur toutes les lois et réglementations locales applicables.</w:t>
      </w:r>
    </w:p>
    <w:p w:rsidR="0040024C" w:rsidRPr="00E67163" w:rsidP="0040024C" w14:paraId="1899B7D8" w14:textId="77777777">
      <w:pPr>
        <w:pStyle w:val="paragraph"/>
        <w:spacing w:before="0" w:beforeAutospacing="0" w:after="0" w:afterAutospacing="0"/>
        <w:ind w:left="360"/>
        <w:textAlignment w:val="baseline"/>
        <w:rPr>
          <w:rFonts w:ascii="Calibri" w:hAnsi="Calibri" w:cs="Calibri"/>
        </w:rPr>
      </w:pPr>
    </w:p>
    <w:p w:rsidR="0040024C" w:rsidRPr="00E51450" w:rsidP="00592AE0" w14:paraId="5C2E87EC" w14:textId="77777777">
      <w:pPr>
        <w:pStyle w:val="Heading3"/>
        <w:numPr>
          <w:ilvl w:val="0"/>
          <w:numId w:val="0"/>
        </w:numPr>
        <w:bidi w:val="0"/>
        <w:rPr>
          <w:color w:val="auto"/>
        </w:rPr>
      </w:pPr>
      <w:bookmarkStart w:id="108" w:name="_Toc256000033"/>
      <w:r w:rsidRPr="00E51450">
        <w:rPr>
          <w:color w:val="auto"/>
          <w:rtl w:val="0"/>
          <w:lang w:val="fr"/>
        </w:rPr>
        <w:t>2. Contextualisation locale</w:t>
      </w:r>
      <w:bookmarkEnd w:id="108"/>
    </w:p>
    <w:p w:rsidR="0040024C" w:rsidRPr="00E67163" w:rsidP="0040024C" w14:paraId="00215A41" w14:textId="77777777">
      <w:pPr>
        <w:pStyle w:val="paragraph"/>
        <w:numPr>
          <w:ilvl w:val="0"/>
          <w:numId w:val="9"/>
        </w:numPr>
        <w:bidi w:val="0"/>
        <w:spacing w:before="0" w:beforeAutospacing="0" w:after="0" w:afterAutospacing="0"/>
        <w:textAlignment w:val="baseline"/>
        <w:rPr>
          <w:rFonts w:ascii="Calibri" w:hAnsi="Calibri" w:cs="Calibri"/>
        </w:rPr>
      </w:pPr>
      <w:r w:rsidRPr="00E67163">
        <w:rPr>
          <w:rFonts w:ascii="Calibri" w:hAnsi="Calibri" w:cs="Calibri"/>
          <w:rtl w:val="0"/>
          <w:lang w:val="fr"/>
        </w:rPr>
        <w:t>Élaborer une version localisée de la politique qui :</w:t>
      </w:r>
    </w:p>
    <w:p w:rsidR="0040024C" w:rsidRPr="00E67163" w:rsidP="0040024C" w14:paraId="1A902A36" w14:textId="77777777">
      <w:pPr>
        <w:pStyle w:val="paragraph"/>
        <w:numPr>
          <w:ilvl w:val="1"/>
          <w:numId w:val="9"/>
        </w:numPr>
        <w:bidi w:val="0"/>
        <w:spacing w:before="0" w:beforeAutospacing="0" w:after="0" w:afterAutospacing="0"/>
        <w:textAlignment w:val="baseline"/>
        <w:rPr>
          <w:rFonts w:ascii="Calibri" w:hAnsi="Calibri" w:cs="Calibri"/>
        </w:rPr>
      </w:pPr>
      <w:r w:rsidRPr="00E67163">
        <w:rPr>
          <w:rFonts w:ascii="Calibri" w:hAnsi="Calibri" w:cs="Calibri"/>
          <w:rtl w:val="0"/>
          <w:lang w:val="fr"/>
        </w:rPr>
        <w:t>Maintient l'intention de la politique globale.</w:t>
      </w:r>
    </w:p>
    <w:p w:rsidR="0040024C" w:rsidRPr="00E67163" w:rsidP="0040024C" w14:paraId="27B00EBF" w14:textId="77777777">
      <w:pPr>
        <w:pStyle w:val="paragraph"/>
        <w:numPr>
          <w:ilvl w:val="1"/>
          <w:numId w:val="9"/>
        </w:numPr>
        <w:bidi w:val="0"/>
        <w:spacing w:before="0" w:beforeAutospacing="0" w:after="0" w:afterAutospacing="0"/>
        <w:textAlignment w:val="baseline"/>
        <w:rPr>
          <w:rFonts w:ascii="Calibri" w:hAnsi="Calibri" w:cs="Calibri"/>
        </w:rPr>
      </w:pPr>
      <w:r w:rsidRPr="00E67163">
        <w:rPr>
          <w:rFonts w:ascii="Calibri" w:hAnsi="Calibri" w:cs="Calibri"/>
          <w:rtl w:val="0"/>
          <w:lang w:val="fr"/>
        </w:rPr>
        <w:t>intègre des exigences locales plus strictes ou uniques.</w:t>
      </w:r>
    </w:p>
    <w:p w:rsidR="0040024C" w:rsidRPr="00E67163" w:rsidP="0040024C" w14:paraId="28326EEA" w14:textId="77777777">
      <w:pPr>
        <w:pStyle w:val="paragraph"/>
        <w:numPr>
          <w:ilvl w:val="1"/>
          <w:numId w:val="9"/>
        </w:numPr>
        <w:bidi w:val="0"/>
        <w:spacing w:before="0" w:beforeAutospacing="0" w:after="0" w:afterAutospacing="0"/>
        <w:textAlignment w:val="baseline"/>
        <w:rPr>
          <w:rFonts w:ascii="Calibri" w:hAnsi="Calibri" w:cs="Calibri"/>
        </w:rPr>
      </w:pPr>
      <w:r w:rsidRPr="00E67163">
        <w:rPr>
          <w:rFonts w:ascii="Calibri" w:hAnsi="Calibri" w:cs="Calibri"/>
          <w:rtl w:val="0"/>
          <w:lang w:val="fr"/>
        </w:rPr>
        <w:t>Fournit des étapes claires et réalisables pour l'opérationnalisation.</w:t>
      </w:r>
    </w:p>
    <w:p w:rsidR="0040024C" w:rsidRPr="00592AE0" w:rsidP="00592AE0" w14:paraId="31D5D589" w14:textId="77777777">
      <w:pPr>
        <w:pStyle w:val="Heading3"/>
        <w:numPr>
          <w:ilvl w:val="0"/>
          <w:numId w:val="0"/>
        </w:numPr>
        <w:bidi w:val="0"/>
        <w:rPr>
          <w:color w:val="auto"/>
        </w:rPr>
      </w:pPr>
      <w:bookmarkStart w:id="109" w:name="_Toc256000034"/>
      <w:r w:rsidRPr="00592AE0">
        <w:rPr>
          <w:color w:val="auto"/>
          <w:rtl w:val="0"/>
          <w:lang w:val="fr"/>
        </w:rPr>
        <w:t>3. Processus d'approbation</w:t>
      </w:r>
      <w:bookmarkEnd w:id="109"/>
    </w:p>
    <w:p w:rsidR="0040024C" w:rsidRPr="008270D5" w:rsidP="0040024C" w14:paraId="736DAA07" w14:textId="77777777">
      <w:pPr>
        <w:pStyle w:val="paragraph"/>
        <w:bidi w:val="0"/>
        <w:spacing w:before="0" w:beforeAutospacing="0" w:after="0" w:afterAutospacing="0"/>
        <w:textAlignment w:val="baseline"/>
        <w:rPr>
          <w:rFonts w:ascii="Calibri" w:hAnsi="Calibri" w:cs="Calibri"/>
        </w:rPr>
      </w:pPr>
      <w:r w:rsidRPr="008270D5">
        <w:rPr>
          <w:rFonts w:ascii="Calibri" w:hAnsi="Calibri" w:cs="Calibri"/>
          <w:rtl w:val="0"/>
          <w:lang w:val="fr"/>
        </w:rPr>
        <w:t>Les adaptations de la politique globale doivent être soumises aux étapes d'approbation suivantes :</w:t>
      </w:r>
    </w:p>
    <w:p w:rsidR="0040024C" w:rsidRPr="008270D5" w:rsidP="0040024C" w14:paraId="5120D6C3" w14:textId="77777777">
      <w:pPr>
        <w:pStyle w:val="paragraph"/>
        <w:numPr>
          <w:ilvl w:val="0"/>
          <w:numId w:val="10"/>
        </w:numPr>
        <w:bidi w:val="0"/>
        <w:spacing w:before="0" w:beforeAutospacing="0" w:after="0" w:afterAutospacing="0"/>
        <w:textAlignment w:val="baseline"/>
        <w:rPr>
          <w:rFonts w:ascii="Calibri" w:hAnsi="Calibri" w:cs="Calibri"/>
        </w:rPr>
      </w:pPr>
      <w:r w:rsidRPr="00E51450">
        <w:rPr>
          <w:rFonts w:ascii="Calibri" w:hAnsi="Calibri" w:cs="Calibri"/>
          <w:rtl w:val="0"/>
          <w:lang w:val="fr"/>
        </w:rPr>
        <w:t xml:space="preserve">Projet de proposition : </w:t>
        <w:br/>
        <w:t>Soumettre une proposition détaillée décrivant :</w:t>
      </w:r>
    </w:p>
    <w:p w:rsidR="0040024C" w:rsidRPr="008270D5" w:rsidP="0040024C" w14:paraId="73DBD95E" w14:textId="77777777">
      <w:pPr>
        <w:pStyle w:val="paragraph"/>
        <w:numPr>
          <w:ilvl w:val="1"/>
          <w:numId w:val="10"/>
        </w:numPr>
        <w:bidi w:val="0"/>
        <w:spacing w:before="0" w:beforeAutospacing="0" w:after="0" w:afterAutospacing="0"/>
        <w:textAlignment w:val="baseline"/>
        <w:rPr>
          <w:rFonts w:ascii="Calibri" w:hAnsi="Calibri" w:cs="Calibri"/>
        </w:rPr>
      </w:pPr>
      <w:r w:rsidRPr="008270D5">
        <w:rPr>
          <w:rFonts w:ascii="Calibri" w:hAnsi="Calibri" w:cs="Calibri"/>
          <w:rtl w:val="0"/>
          <w:lang w:val="fr"/>
        </w:rPr>
        <w:t>La variation ou le conflit local identifié.</w:t>
      </w:r>
    </w:p>
    <w:p w:rsidR="0040024C" w:rsidRPr="008270D5" w:rsidP="0040024C" w14:paraId="542EE5E1" w14:textId="77777777">
      <w:pPr>
        <w:pStyle w:val="paragraph"/>
        <w:numPr>
          <w:ilvl w:val="1"/>
          <w:numId w:val="10"/>
        </w:numPr>
        <w:bidi w:val="0"/>
        <w:spacing w:before="0" w:beforeAutospacing="0" w:after="0" w:afterAutospacing="0"/>
        <w:textAlignment w:val="baseline"/>
        <w:rPr>
          <w:rFonts w:ascii="Calibri" w:hAnsi="Calibri" w:cs="Calibri"/>
        </w:rPr>
      </w:pPr>
      <w:r w:rsidRPr="008270D5">
        <w:rPr>
          <w:rFonts w:ascii="Calibri" w:hAnsi="Calibri" w:cs="Calibri"/>
          <w:rtl w:val="0"/>
          <w:lang w:val="fr"/>
        </w:rPr>
        <w:t>La justification de l'adaptation proposée.</w:t>
      </w:r>
    </w:p>
    <w:p w:rsidR="0040024C" w:rsidRPr="008270D5" w:rsidP="0040024C" w14:paraId="2635D6F6" w14:textId="77777777">
      <w:pPr>
        <w:pStyle w:val="paragraph"/>
        <w:numPr>
          <w:ilvl w:val="1"/>
          <w:numId w:val="10"/>
        </w:numPr>
        <w:bidi w:val="0"/>
        <w:spacing w:before="0" w:beforeAutospacing="0" w:after="0" w:afterAutospacing="0"/>
        <w:textAlignment w:val="baseline"/>
        <w:rPr>
          <w:rFonts w:ascii="Calibri" w:hAnsi="Calibri" w:cs="Calibri"/>
        </w:rPr>
      </w:pPr>
      <w:r w:rsidRPr="008270D5">
        <w:rPr>
          <w:rFonts w:ascii="Calibri" w:hAnsi="Calibri" w:cs="Calibri"/>
          <w:rtl w:val="0"/>
          <w:lang w:val="fr"/>
        </w:rPr>
        <w:t>Preuve de la conformité avec les réglementations locales.</w:t>
      </w:r>
    </w:p>
    <w:p w:rsidR="0040024C" w:rsidRPr="008270D5" w:rsidP="0040024C" w14:paraId="7A845642" w14:textId="77777777">
      <w:pPr>
        <w:pStyle w:val="paragraph"/>
        <w:numPr>
          <w:ilvl w:val="0"/>
          <w:numId w:val="10"/>
        </w:numPr>
        <w:bidi w:val="0"/>
        <w:spacing w:before="0" w:beforeAutospacing="0" w:after="0" w:afterAutospacing="0"/>
        <w:textAlignment w:val="baseline"/>
        <w:rPr>
          <w:rFonts w:ascii="Calibri" w:hAnsi="Calibri" w:cs="Calibri"/>
        </w:rPr>
      </w:pPr>
      <w:r w:rsidRPr="00E51450">
        <w:rPr>
          <w:rFonts w:ascii="Calibri" w:hAnsi="Calibri" w:cs="Calibri"/>
          <w:rtl w:val="0"/>
          <w:lang w:val="fr"/>
        </w:rPr>
        <w:t xml:space="preserve">Examen par le Regional General Counsel : </w:t>
        <w:br/>
        <w:t>s'assurer que l'adaptation proposée est conforme aux exigences légales et n'expose pas Brinks à des risques inutiles.</w:t>
      </w:r>
    </w:p>
    <w:p w:rsidR="0040024C" w:rsidRPr="008270D5" w:rsidP="0040024C" w14:paraId="41EE1956" w14:textId="77777777">
      <w:pPr>
        <w:pStyle w:val="paragraph"/>
        <w:numPr>
          <w:ilvl w:val="0"/>
          <w:numId w:val="10"/>
        </w:numPr>
        <w:bidi w:val="0"/>
        <w:spacing w:before="0" w:beforeAutospacing="0" w:after="0" w:afterAutospacing="0"/>
        <w:textAlignment w:val="baseline"/>
        <w:rPr>
          <w:rFonts w:ascii="Calibri" w:hAnsi="Calibri" w:cs="Calibri"/>
        </w:rPr>
      </w:pPr>
      <w:r w:rsidRPr="00E51450">
        <w:rPr>
          <w:rFonts w:ascii="Calibri" w:hAnsi="Calibri" w:cs="Calibri"/>
          <w:rtl w:val="0"/>
          <w:lang w:val="fr"/>
        </w:rPr>
        <w:t xml:space="preserve">Examen par le VP/SVP RH : </w:t>
        <w:br/>
        <w:t>confirmer l'alignement sur les objectifs, les politiques et les normes de l'entreprise en matière de ressources humaines.</w:t>
      </w:r>
    </w:p>
    <w:p w:rsidR="0040024C" w:rsidP="0040024C" w14:paraId="664EDFB7" w14:textId="77777777">
      <w:pPr>
        <w:pStyle w:val="paragraph"/>
        <w:numPr>
          <w:ilvl w:val="0"/>
          <w:numId w:val="10"/>
        </w:numPr>
        <w:bidi w:val="0"/>
        <w:spacing w:before="0" w:beforeAutospacing="0" w:after="0" w:afterAutospacing="0"/>
        <w:textAlignment w:val="baseline"/>
        <w:rPr>
          <w:rFonts w:ascii="Calibri" w:hAnsi="Calibri" w:cs="Calibri"/>
        </w:rPr>
      </w:pPr>
      <w:r w:rsidRPr="00E51450">
        <w:rPr>
          <w:rFonts w:ascii="Calibri" w:hAnsi="Calibri" w:cs="Calibri"/>
          <w:rtl w:val="0"/>
          <w:lang w:val="fr"/>
        </w:rPr>
        <w:t xml:space="preserve">Approbation finale : </w:t>
        <w:br/>
        <w:t>l'approbation du directeur juridique régional et du responsable mondial des ressources humaines est obligatoire avant la mise en œuvre.</w:t>
      </w:r>
    </w:p>
    <w:p w:rsidR="0040024C" w:rsidP="0040024C" w14:paraId="7AE969C3" w14:textId="77777777">
      <w:pPr>
        <w:pStyle w:val="paragraph"/>
        <w:spacing w:before="0" w:beforeAutospacing="0" w:after="0" w:afterAutospacing="0"/>
        <w:textAlignment w:val="baseline"/>
        <w:rPr>
          <w:rFonts w:ascii="Calibri" w:hAnsi="Calibri" w:cs="Calibri"/>
        </w:rPr>
      </w:pPr>
    </w:p>
    <w:p w:rsidR="0040024C" w:rsidRPr="008270D5" w:rsidP="0040024C" w14:paraId="678B4876" w14:textId="77777777">
      <w:pPr>
        <w:pStyle w:val="paragraph"/>
        <w:bidi w:val="0"/>
        <w:spacing w:before="0" w:beforeAutospacing="0" w:after="0" w:afterAutospacing="0"/>
        <w:textAlignment w:val="baseline"/>
        <w:rPr>
          <w:rFonts w:ascii="Calibri" w:hAnsi="Calibri" w:cs="Calibri"/>
          <w:b/>
          <w:bCs/>
          <w:sz w:val="28"/>
          <w:szCs w:val="28"/>
        </w:rPr>
      </w:pPr>
      <w:r w:rsidRPr="00EE3125">
        <w:rPr>
          <w:rFonts w:ascii="Calibri" w:hAnsi="Calibri" w:cs="Calibri"/>
          <w:b/>
          <w:bCs/>
          <w:sz w:val="28"/>
          <w:szCs w:val="28"/>
          <w:rtl w:val="0"/>
          <w:lang w:val="fr"/>
        </w:rPr>
        <w:t>Modèle de présentation de l'adaptation locale</w:t>
      </w:r>
    </w:p>
    <w:p w:rsidR="0040024C" w:rsidP="0040024C" w14:paraId="6567C2FD" w14:textId="77777777">
      <w:pPr>
        <w:pStyle w:val="paragraph"/>
        <w:spacing w:before="0" w:beforeAutospacing="0" w:after="0" w:afterAutospacing="0"/>
        <w:textAlignment w:val="baseline"/>
        <w:rPr>
          <w:rFonts w:ascii="Calibri" w:hAnsi="Calibri" w:cs="Calibri"/>
        </w:rPr>
      </w:pPr>
    </w:p>
    <w:tbl>
      <w:tblPr>
        <w:tblStyle w:val="TableGrid"/>
        <w:tblW w:w="0" w:type="auto"/>
        <w:tblLook w:val="04A0"/>
      </w:tblPr>
      <w:tblGrid>
        <w:gridCol w:w="2695"/>
        <w:gridCol w:w="6655"/>
      </w:tblGrid>
      <w:tr w14:paraId="192C889D" w14:textId="77777777" w:rsidTr="00202823">
        <w:tblPrEx>
          <w:tblW w:w="0" w:type="auto"/>
          <w:tblLook w:val="04A0"/>
        </w:tblPrEx>
        <w:tc>
          <w:tcPr>
            <w:tcW w:w="2695" w:type="dxa"/>
            <w:shd w:val="clear" w:color="auto" w:fill="C6D9F0" w:themeFill="text2" w:themeFillTint="33"/>
          </w:tcPr>
          <w:p w:rsidR="0040024C" w:rsidRPr="000E1269" w:rsidP="00202823" w14:paraId="58B041DE" w14:textId="77777777">
            <w:pPr>
              <w:bidi w:val="0"/>
              <w:jc w:val="center"/>
              <w:rPr>
                <w:rFonts w:ascii="Calibri" w:hAnsi="Calibri" w:cs="Calibri"/>
                <w:b/>
                <w:bCs/>
              </w:rPr>
            </w:pPr>
            <w:r w:rsidRPr="000E1269">
              <w:rPr>
                <w:rFonts w:ascii="Calibri" w:hAnsi="Calibri" w:cs="Calibri"/>
                <w:b/>
                <w:bCs/>
                <w:rtl w:val="0"/>
                <w:lang w:val="fr"/>
              </w:rPr>
              <w:t>Section</w:t>
            </w:r>
          </w:p>
        </w:tc>
        <w:tc>
          <w:tcPr>
            <w:tcW w:w="6655" w:type="dxa"/>
            <w:shd w:val="clear" w:color="auto" w:fill="C6D9F0" w:themeFill="text2" w:themeFillTint="33"/>
          </w:tcPr>
          <w:p w:rsidR="0040024C" w:rsidRPr="000E1269" w:rsidP="00202823" w14:paraId="7CDBD94E" w14:textId="77777777">
            <w:pPr>
              <w:bidi w:val="0"/>
              <w:jc w:val="center"/>
              <w:rPr>
                <w:rFonts w:ascii="Calibri" w:hAnsi="Calibri" w:cs="Calibri"/>
                <w:b/>
                <w:bCs/>
              </w:rPr>
            </w:pPr>
            <w:r w:rsidRPr="000E1269">
              <w:rPr>
                <w:rFonts w:ascii="Calibri" w:hAnsi="Calibri" w:cs="Calibri"/>
                <w:b/>
                <w:bCs/>
                <w:rtl w:val="0"/>
                <w:lang w:val="fr"/>
              </w:rPr>
              <w:t>Détails</w:t>
            </w:r>
          </w:p>
        </w:tc>
      </w:tr>
      <w:tr w14:paraId="2C567F9C" w14:textId="77777777" w:rsidTr="00842544">
        <w:tblPrEx>
          <w:tblW w:w="0" w:type="auto"/>
          <w:tblLook w:val="04A0"/>
        </w:tblPrEx>
        <w:tc>
          <w:tcPr>
            <w:tcW w:w="2695" w:type="dxa"/>
          </w:tcPr>
          <w:p w:rsidR="0040024C" w:rsidRPr="00696E59" w:rsidP="00842544" w14:paraId="5C81AB80" w14:textId="77777777">
            <w:pPr>
              <w:bidi w:val="0"/>
              <w:jc w:val="both"/>
              <w:rPr>
                <w:rFonts w:ascii="Calibri" w:hAnsi="Calibri" w:cs="Calibri"/>
                <w:b/>
                <w:bCs/>
              </w:rPr>
            </w:pPr>
            <w:r w:rsidRPr="00696E59">
              <w:rPr>
                <w:rFonts w:ascii="Calibri" w:hAnsi="Calibri" w:cs="Calibri"/>
                <w:b/>
                <w:bCs/>
                <w:rtl w:val="0"/>
                <w:lang w:val="fr"/>
              </w:rPr>
              <w:t>Pays/Région</w:t>
            </w:r>
          </w:p>
        </w:tc>
        <w:tc>
          <w:tcPr>
            <w:tcW w:w="6655" w:type="dxa"/>
          </w:tcPr>
          <w:p w:rsidR="0040024C" w:rsidRPr="009E79C0" w:rsidP="00842544" w14:paraId="759D3DBD" w14:textId="77777777">
            <w:pPr>
              <w:bidi w:val="0"/>
              <w:jc w:val="both"/>
              <w:rPr>
                <w:rFonts w:ascii="Calibri" w:hAnsi="Calibri" w:cs="Calibri"/>
              </w:rPr>
            </w:pPr>
            <w:r w:rsidRPr="009E79C0">
              <w:rPr>
                <w:rFonts w:ascii="Calibri" w:hAnsi="Calibri" w:cs="Calibri"/>
                <w:rtl w:val="0"/>
                <w:lang w:val="fr"/>
              </w:rPr>
              <w:t>Pays ou région spécifique où l'adaptation est nécessaire</w:t>
            </w:r>
          </w:p>
        </w:tc>
      </w:tr>
      <w:tr w14:paraId="4AF762F2" w14:textId="77777777" w:rsidTr="00842544">
        <w:tblPrEx>
          <w:tblW w:w="0" w:type="auto"/>
          <w:tblLook w:val="04A0"/>
        </w:tblPrEx>
        <w:tc>
          <w:tcPr>
            <w:tcW w:w="2695" w:type="dxa"/>
          </w:tcPr>
          <w:p w:rsidR="0040024C" w:rsidRPr="00696E59" w:rsidP="00842544" w14:paraId="0D6A5892" w14:textId="77777777">
            <w:pPr>
              <w:bidi w:val="0"/>
              <w:jc w:val="both"/>
              <w:rPr>
                <w:rFonts w:ascii="Calibri" w:hAnsi="Calibri" w:cs="Calibri"/>
                <w:b/>
                <w:bCs/>
              </w:rPr>
            </w:pPr>
            <w:r>
              <w:rPr>
                <w:rFonts w:ascii="Calibri" w:hAnsi="Calibri" w:cs="Calibri"/>
                <w:b/>
                <w:bCs/>
                <w:rtl w:val="0"/>
                <w:lang w:val="fr"/>
              </w:rPr>
              <w:t>Référence politique globale</w:t>
            </w:r>
          </w:p>
        </w:tc>
        <w:tc>
          <w:tcPr>
            <w:tcW w:w="6655" w:type="dxa"/>
          </w:tcPr>
          <w:p w:rsidR="0040024C" w:rsidRPr="009E79C0" w:rsidP="00842544" w14:paraId="43D484CC" w14:textId="77777777">
            <w:pPr>
              <w:bidi w:val="0"/>
              <w:jc w:val="both"/>
              <w:rPr>
                <w:rFonts w:ascii="Calibri" w:hAnsi="Calibri" w:cs="Calibri"/>
              </w:rPr>
            </w:pPr>
            <w:r w:rsidRPr="009E79C0">
              <w:rPr>
                <w:rFonts w:ascii="Calibri" w:hAnsi="Calibri" w:cs="Calibri"/>
                <w:rtl w:val="0"/>
                <w:lang w:val="fr"/>
              </w:rPr>
              <w:t>Identifier la section spécifique de la politique globale</w:t>
            </w:r>
          </w:p>
        </w:tc>
      </w:tr>
      <w:tr w14:paraId="0D2D7B76" w14:textId="77777777" w:rsidTr="00842544">
        <w:tblPrEx>
          <w:tblW w:w="0" w:type="auto"/>
          <w:tblLook w:val="04A0"/>
        </w:tblPrEx>
        <w:tc>
          <w:tcPr>
            <w:tcW w:w="2695" w:type="dxa"/>
          </w:tcPr>
          <w:p w:rsidR="0040024C" w:rsidRPr="00696E59" w:rsidP="00842544" w14:paraId="0F9BB9C8" w14:textId="77777777">
            <w:pPr>
              <w:bidi w:val="0"/>
              <w:jc w:val="both"/>
              <w:rPr>
                <w:rFonts w:ascii="Calibri" w:hAnsi="Calibri" w:cs="Calibri"/>
                <w:b/>
                <w:bCs/>
              </w:rPr>
            </w:pPr>
            <w:r>
              <w:rPr>
                <w:rFonts w:ascii="Calibri" w:hAnsi="Calibri" w:cs="Calibri"/>
                <w:b/>
                <w:bCs/>
                <w:rtl w:val="0"/>
                <w:lang w:val="fr"/>
              </w:rPr>
              <w:t>Variation locale identifiée</w:t>
            </w:r>
          </w:p>
        </w:tc>
        <w:tc>
          <w:tcPr>
            <w:tcW w:w="6655" w:type="dxa"/>
          </w:tcPr>
          <w:p w:rsidR="0040024C" w:rsidRPr="009E79C0" w:rsidP="00842544" w14:paraId="6432D54B" w14:textId="77777777">
            <w:pPr>
              <w:bidi w:val="0"/>
              <w:jc w:val="both"/>
              <w:rPr>
                <w:rFonts w:ascii="Calibri" w:hAnsi="Calibri" w:cs="Calibri"/>
              </w:rPr>
            </w:pPr>
            <w:r>
              <w:rPr>
                <w:rFonts w:ascii="Calibri" w:hAnsi="Calibri" w:cs="Calibri"/>
                <w:rtl w:val="0"/>
                <w:lang w:val="fr"/>
              </w:rPr>
              <w:t>Description du conflit/problème avec la politique mondiale</w:t>
            </w:r>
          </w:p>
        </w:tc>
      </w:tr>
      <w:tr w14:paraId="346DDD28" w14:textId="77777777" w:rsidTr="00842544">
        <w:tblPrEx>
          <w:tblW w:w="0" w:type="auto"/>
          <w:tblLook w:val="04A0"/>
        </w:tblPrEx>
        <w:tc>
          <w:tcPr>
            <w:tcW w:w="2695" w:type="dxa"/>
          </w:tcPr>
          <w:p w:rsidR="0040024C" w:rsidRPr="00696E59" w:rsidP="00842544" w14:paraId="24E60FD9" w14:textId="77777777">
            <w:pPr>
              <w:bidi w:val="0"/>
              <w:jc w:val="both"/>
              <w:rPr>
                <w:rFonts w:ascii="Calibri" w:hAnsi="Calibri" w:cs="Calibri"/>
                <w:b/>
                <w:bCs/>
              </w:rPr>
            </w:pPr>
            <w:r>
              <w:rPr>
                <w:rFonts w:ascii="Calibri" w:hAnsi="Calibri" w:cs="Calibri"/>
                <w:b/>
                <w:bCs/>
                <w:rtl w:val="0"/>
                <w:lang w:val="fr"/>
              </w:rPr>
              <w:t>Adaptation proposée</w:t>
            </w:r>
          </w:p>
        </w:tc>
        <w:tc>
          <w:tcPr>
            <w:tcW w:w="6655" w:type="dxa"/>
          </w:tcPr>
          <w:p w:rsidR="0040024C" w:rsidRPr="009E79C0" w:rsidP="00842544" w14:paraId="28FAB13B" w14:textId="77777777">
            <w:pPr>
              <w:bidi w:val="0"/>
              <w:jc w:val="both"/>
              <w:rPr>
                <w:rFonts w:ascii="Calibri" w:hAnsi="Calibri" w:cs="Calibri"/>
              </w:rPr>
            </w:pPr>
            <w:r>
              <w:rPr>
                <w:rFonts w:ascii="Calibri" w:hAnsi="Calibri" w:cs="Calibri"/>
                <w:rtl w:val="0"/>
                <w:lang w:val="fr"/>
              </w:rPr>
              <w:t>Décrire les modifications ou ajouts proposés</w:t>
            </w:r>
          </w:p>
        </w:tc>
      </w:tr>
      <w:tr w14:paraId="74E9696B" w14:textId="77777777" w:rsidTr="00842544">
        <w:tblPrEx>
          <w:tblW w:w="0" w:type="auto"/>
          <w:tblLook w:val="04A0"/>
        </w:tblPrEx>
        <w:tc>
          <w:tcPr>
            <w:tcW w:w="2695" w:type="dxa"/>
          </w:tcPr>
          <w:p w:rsidR="0040024C" w:rsidRPr="00696E59" w:rsidP="00842544" w14:paraId="75CA0E43" w14:textId="77777777">
            <w:pPr>
              <w:bidi w:val="0"/>
              <w:jc w:val="both"/>
              <w:rPr>
                <w:rFonts w:ascii="Calibri" w:hAnsi="Calibri" w:cs="Calibri"/>
                <w:b/>
                <w:bCs/>
              </w:rPr>
            </w:pPr>
            <w:r>
              <w:rPr>
                <w:rFonts w:ascii="Calibri" w:hAnsi="Calibri" w:cs="Calibri"/>
                <w:b/>
                <w:bCs/>
                <w:rtl w:val="0"/>
                <w:lang w:val="fr"/>
              </w:rPr>
              <w:t>Justification de la conformité</w:t>
            </w:r>
          </w:p>
        </w:tc>
        <w:tc>
          <w:tcPr>
            <w:tcW w:w="6655" w:type="dxa"/>
          </w:tcPr>
          <w:p w:rsidR="0040024C" w:rsidRPr="009E79C0" w:rsidP="00842544" w14:paraId="63920C29" w14:textId="77777777">
            <w:pPr>
              <w:bidi w:val="0"/>
              <w:jc w:val="both"/>
              <w:rPr>
                <w:rFonts w:ascii="Calibri" w:hAnsi="Calibri" w:cs="Calibri"/>
              </w:rPr>
            </w:pPr>
            <w:r>
              <w:rPr>
                <w:rFonts w:ascii="Calibri" w:hAnsi="Calibri" w:cs="Calibri"/>
                <w:rtl w:val="0"/>
                <w:lang w:val="fr"/>
              </w:rPr>
              <w:t>Fournir la preuve de la conformité avec les réglementations locales</w:t>
            </w:r>
          </w:p>
        </w:tc>
      </w:tr>
      <w:tr w14:paraId="0D0608C2" w14:textId="77777777" w:rsidTr="00842544">
        <w:tblPrEx>
          <w:tblW w:w="0" w:type="auto"/>
          <w:tblLook w:val="04A0"/>
        </w:tblPrEx>
        <w:tc>
          <w:tcPr>
            <w:tcW w:w="2695" w:type="dxa"/>
          </w:tcPr>
          <w:p w:rsidR="0040024C" w:rsidRPr="00696E59" w:rsidP="00842544" w14:paraId="397E169F" w14:textId="77777777">
            <w:pPr>
              <w:bidi w:val="0"/>
              <w:jc w:val="both"/>
              <w:rPr>
                <w:rFonts w:ascii="Calibri" w:hAnsi="Calibri" w:cs="Calibri"/>
                <w:b/>
                <w:bCs/>
              </w:rPr>
            </w:pPr>
            <w:r>
              <w:rPr>
                <w:rFonts w:ascii="Calibri" w:hAnsi="Calibri" w:cs="Calibri"/>
                <w:b/>
                <w:bCs/>
                <w:rtl w:val="0"/>
                <w:lang w:val="fr"/>
              </w:rPr>
              <w:t>Plan de mise en œuvre</w:t>
            </w:r>
          </w:p>
        </w:tc>
        <w:tc>
          <w:tcPr>
            <w:tcW w:w="6655" w:type="dxa"/>
          </w:tcPr>
          <w:p w:rsidR="0040024C" w:rsidRPr="009E79C0" w:rsidP="00842544" w14:paraId="3536A934" w14:textId="77777777">
            <w:pPr>
              <w:bidi w:val="0"/>
              <w:jc w:val="both"/>
              <w:rPr>
                <w:rFonts w:ascii="Calibri" w:hAnsi="Calibri" w:cs="Calibri"/>
              </w:rPr>
            </w:pPr>
            <w:r>
              <w:rPr>
                <w:rFonts w:ascii="Calibri" w:hAnsi="Calibri" w:cs="Calibri"/>
                <w:rtl w:val="0"/>
                <w:lang w:val="fr"/>
              </w:rPr>
              <w:t xml:space="preserve">Détailler la manière dont la politique adaptée sera mise en œuvre </w:t>
            </w:r>
          </w:p>
        </w:tc>
      </w:tr>
      <w:tr w14:paraId="6D26719D" w14:textId="77777777" w:rsidTr="00842544">
        <w:tblPrEx>
          <w:tblW w:w="0" w:type="auto"/>
          <w:tblLook w:val="04A0"/>
        </w:tblPrEx>
        <w:tc>
          <w:tcPr>
            <w:tcW w:w="2695" w:type="dxa"/>
          </w:tcPr>
          <w:p w:rsidR="0040024C" w:rsidRPr="00696E59" w:rsidP="00842544" w14:paraId="3B8ABE4A" w14:textId="77777777">
            <w:pPr>
              <w:bidi w:val="0"/>
              <w:jc w:val="both"/>
              <w:rPr>
                <w:rFonts w:ascii="Calibri" w:hAnsi="Calibri" w:cs="Calibri"/>
                <w:b/>
                <w:bCs/>
              </w:rPr>
            </w:pPr>
            <w:r>
              <w:rPr>
                <w:rFonts w:ascii="Calibri" w:hAnsi="Calibri" w:cs="Calibri"/>
                <w:b/>
                <w:bCs/>
                <w:rtl w:val="0"/>
                <w:lang w:val="fr"/>
              </w:rPr>
              <w:t>Signatures d'approbation</w:t>
            </w:r>
          </w:p>
        </w:tc>
        <w:tc>
          <w:tcPr>
            <w:tcW w:w="6655" w:type="dxa"/>
          </w:tcPr>
          <w:p w:rsidR="0040024C" w:rsidRPr="009E79C0" w:rsidP="00842544" w14:paraId="54B2DF1E" w14:textId="77777777">
            <w:pPr>
              <w:bidi w:val="0"/>
              <w:jc w:val="both"/>
              <w:rPr>
                <w:rFonts w:ascii="Calibri" w:hAnsi="Calibri" w:cs="Calibri"/>
              </w:rPr>
            </w:pPr>
            <w:r>
              <w:rPr>
                <w:rFonts w:ascii="Calibri" w:hAnsi="Calibri" w:cs="Calibri"/>
                <w:rtl w:val="0"/>
                <w:lang w:val="fr"/>
              </w:rPr>
              <w:t>Inclure des lignes pour les signatures du GC régional et du CHRO</w:t>
            </w:r>
          </w:p>
        </w:tc>
      </w:tr>
    </w:tbl>
    <w:p w:rsidR="0040024C" w:rsidP="0040024C" w14:paraId="76E18D91" w14:textId="77777777">
      <w:pPr>
        <w:rPr>
          <w:rFonts w:ascii="Calibri" w:hAnsi="Calibri" w:cs="Calibri"/>
          <w:b/>
          <w:bCs/>
          <w:sz w:val="28"/>
          <w:szCs w:val="28"/>
        </w:rPr>
      </w:pPr>
    </w:p>
    <w:p w:rsidR="0040024C" w:rsidRPr="006F465E" w:rsidP="006F465E" w14:paraId="4600E57E" w14:textId="77777777">
      <w:pPr>
        <w:pStyle w:val="Heading3"/>
        <w:numPr>
          <w:ilvl w:val="0"/>
          <w:numId w:val="0"/>
        </w:numPr>
        <w:bidi w:val="0"/>
        <w:rPr>
          <w:color w:val="auto"/>
        </w:rPr>
      </w:pPr>
      <w:bookmarkStart w:id="110" w:name="_Toc256000035"/>
      <w:r w:rsidRPr="006F465E">
        <w:rPr>
          <w:color w:val="auto"/>
          <w:rtl w:val="0"/>
          <w:lang w:val="fr"/>
        </w:rPr>
        <w:t>4. Communication et formation</w:t>
      </w:r>
      <w:bookmarkEnd w:id="110"/>
    </w:p>
    <w:p w:rsidR="0040024C" w:rsidRPr="002D24FF" w:rsidP="0040024C" w14:paraId="2B70E951" w14:textId="77777777">
      <w:pPr>
        <w:pStyle w:val="ListParagraph"/>
        <w:numPr>
          <w:ilvl w:val="0"/>
          <w:numId w:val="9"/>
        </w:numPr>
        <w:bidi w:val="0"/>
        <w:rPr>
          <w:rFonts w:ascii="Calibri" w:hAnsi="Calibri" w:cs="Calibri"/>
        </w:rPr>
      </w:pPr>
      <w:r w:rsidRPr="002D24FF">
        <w:rPr>
          <w:rFonts w:ascii="Calibri" w:hAnsi="Calibri" w:cs="Calibri"/>
          <w:rtl w:val="0"/>
          <w:lang w:val="fr"/>
        </w:rPr>
        <w:t>Organiser des sessions de formation pour les équipes locales afin de garantir la compréhension et l'adhésion à la politique adaptée.</w:t>
      </w:r>
    </w:p>
    <w:p w:rsidR="0040024C" w:rsidRPr="00687ACC" w:rsidP="0040024C" w14:paraId="25B39A66" w14:textId="77777777">
      <w:pPr>
        <w:pStyle w:val="ListParagraph"/>
        <w:numPr>
          <w:ilvl w:val="0"/>
          <w:numId w:val="9"/>
        </w:numPr>
        <w:bidi w:val="0"/>
        <w:rPr>
          <w:rFonts w:ascii="Calibri" w:hAnsi="Calibri" w:cs="Calibri"/>
          <w:b/>
          <w:bCs/>
          <w:sz w:val="28"/>
          <w:szCs w:val="28"/>
        </w:rPr>
      </w:pPr>
      <w:r w:rsidRPr="002D24FF">
        <w:rPr>
          <w:rFonts w:ascii="Calibri" w:hAnsi="Calibri" w:cs="Calibri"/>
          <w:rtl w:val="0"/>
          <w:lang w:val="fr"/>
        </w:rPr>
        <w:t>Communiquer la raison d'être des adaptations afin de promouvoir la cohérence et l'adhésion dans l'ensemble de l'organisation.</w:t>
      </w:r>
    </w:p>
    <w:p w:rsidR="0040024C" w:rsidRPr="00AE28E3" w:rsidP="0040024C" w14:paraId="763709F4" w14:textId="77777777">
      <w:pPr>
        <w:pStyle w:val="ListParagraph"/>
        <w:numPr>
          <w:ilvl w:val="0"/>
          <w:numId w:val="9"/>
        </w:numPr>
        <w:bidi w:val="0"/>
        <w:rPr>
          <w:rFonts w:ascii="Calibri" w:hAnsi="Calibri" w:cs="Calibri"/>
          <w:b/>
          <w:bCs/>
          <w:sz w:val="28"/>
          <w:szCs w:val="28"/>
        </w:rPr>
      </w:pPr>
      <w:r>
        <w:rPr>
          <w:rFonts w:ascii="Calibri" w:hAnsi="Calibri" w:cs="Calibri"/>
          <w:rtl w:val="0"/>
          <w:lang w:val="fr"/>
        </w:rPr>
        <w:t>Envoyer l'adaptation finale avec les signatures d'approbation à la bibliothèque de ressources de Brinks sous Global Legal Policies.</w:t>
      </w:r>
    </w:p>
    <w:p w:rsidR="0040024C" w:rsidRPr="00AE28E3" w:rsidP="0040024C" w14:paraId="3885B9BF" w14:textId="77777777">
      <w:pPr>
        <w:pStyle w:val="ListParagraph"/>
        <w:rPr>
          <w:rFonts w:ascii="Calibri" w:hAnsi="Calibri" w:cs="Calibri"/>
          <w:b/>
          <w:bCs/>
          <w:sz w:val="28"/>
          <w:szCs w:val="28"/>
        </w:rPr>
      </w:pPr>
    </w:p>
    <w:p w:rsidR="0040024C" w:rsidRPr="009A2E29" w:rsidP="009A2E29" w14:paraId="7D33A1A2" w14:textId="77777777">
      <w:pPr>
        <w:pStyle w:val="Heading3"/>
        <w:numPr>
          <w:ilvl w:val="0"/>
          <w:numId w:val="0"/>
        </w:numPr>
        <w:bidi w:val="0"/>
        <w:rPr>
          <w:color w:val="auto"/>
        </w:rPr>
      </w:pPr>
      <w:bookmarkStart w:id="111" w:name="_Toc256000036"/>
      <w:r w:rsidRPr="009A2E29">
        <w:rPr>
          <w:color w:val="auto"/>
          <w:rtl w:val="0"/>
          <w:lang w:val="fr"/>
        </w:rPr>
        <w:t>5. Suivi et rapports</w:t>
      </w:r>
      <w:bookmarkEnd w:id="111"/>
    </w:p>
    <w:p w:rsidR="0040024C" w:rsidP="0040024C" w14:paraId="40CCCE78" w14:textId="77777777">
      <w:pPr>
        <w:bidi w:val="0"/>
        <w:rPr>
          <w:rFonts w:ascii="Calibri" w:hAnsi="Calibri" w:cs="Calibri"/>
        </w:rPr>
      </w:pPr>
      <w:r>
        <w:rPr>
          <w:rFonts w:ascii="Calibri" w:hAnsi="Calibri" w:cs="Calibri"/>
          <w:rtl w:val="0"/>
          <w:lang w:val="fr"/>
        </w:rPr>
        <w:t>Procéder à des révisions régulières de la politique (au moins une fois par an) afin de s'assurer que</w:t>
      </w:r>
    </w:p>
    <w:p w:rsidR="0040024C" w:rsidRPr="0054752F" w:rsidP="0040024C" w14:paraId="0C19ACEF" w14:textId="77777777">
      <w:pPr>
        <w:pStyle w:val="ListParagraph"/>
        <w:numPr>
          <w:ilvl w:val="0"/>
          <w:numId w:val="9"/>
        </w:numPr>
        <w:bidi w:val="0"/>
        <w:rPr>
          <w:rFonts w:ascii="Calibri" w:hAnsi="Calibri" w:cs="Calibri"/>
        </w:rPr>
      </w:pPr>
      <w:r w:rsidRPr="0054752F">
        <w:rPr>
          <w:rFonts w:ascii="Calibri" w:hAnsi="Calibri" w:cs="Calibri"/>
          <w:rtl w:val="0"/>
          <w:lang w:val="fr"/>
        </w:rPr>
        <w:t>La politique adaptée reste conforme aux normes locales et mondiales.</w:t>
      </w:r>
    </w:p>
    <w:p w:rsidR="0040024C" w:rsidRPr="0054752F" w:rsidP="0040024C" w14:paraId="500C1069" w14:textId="77777777">
      <w:pPr>
        <w:pStyle w:val="ListParagraph"/>
        <w:numPr>
          <w:ilvl w:val="0"/>
          <w:numId w:val="9"/>
        </w:numPr>
        <w:bidi w:val="0"/>
        <w:rPr>
          <w:rFonts w:ascii="Calibri" w:hAnsi="Calibri" w:cs="Calibri"/>
        </w:rPr>
      </w:pPr>
      <w:r w:rsidRPr="0054752F">
        <w:rPr>
          <w:rFonts w:ascii="Calibri" w:hAnsi="Calibri" w:cs="Calibri"/>
          <w:rtl w:val="0"/>
          <w:lang w:val="fr"/>
        </w:rPr>
        <w:t>Le retour d'information sur la mise en œuvre est utilisé pour affiner les adaptations futures.</w:t>
      </w:r>
    </w:p>
    <w:p w:rsidR="0040024C" w:rsidRPr="0040024C" w:rsidP="00DF21BE" w14:paraId="076E90CA" w14:textId="77777777">
      <w:pPr>
        <w:rPr>
          <w:rFonts w:ascii="Calibri (heading)" w:hAnsi="Calibri (heading)"/>
        </w:rPr>
      </w:pPr>
    </w:p>
    <w:p w:rsidR="004E47E2" w:rsidRPr="008E5867" w:rsidP="00DF21BE" w14:paraId="00C90FAA" w14:textId="77777777">
      <w:pPr>
        <w:rPr>
          <w:rFonts w:ascii="Calibri (heading)" w:hAnsi="Calibri (heading)"/>
          <w:lang w:val="en-GB"/>
        </w:rPr>
      </w:pPr>
    </w:p>
    <w:sectPr w:rsidSect="007061CA">
      <w:headerReference w:type="default" r:id="rId12"/>
      <w:footerReference w:type="default" r:id="rId13"/>
      <w:pgSz w:w="12240" w:h="15840"/>
      <w:pgMar w:top="1296" w:right="936" w:bottom="1296" w:left="936"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libri (heading)">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02DB" w:rsidRPr="0088004E" w14:paraId="1EFD01A6" w14:textId="0383DAD5">
    <w:pPr>
      <w:pStyle w:val="Footer"/>
      <w:bidi w:val="0"/>
      <w:jc w:val="right"/>
      <w:rPr>
        <w:sz w:val="20"/>
      </w:rPr>
    </w:pPr>
    <w:r w:rsidRPr="0088004E">
      <w:rPr>
        <w:sz w:val="20"/>
        <w:rtl w:val="0"/>
        <w:lang w:val="fr"/>
      </w:rPr>
      <w:t>Page</w:t>
    </w:r>
    <w:sdt>
      <w:sdtPr>
        <w:rPr>
          <w:noProof/>
          <w:sz w:val="20"/>
          <w:lang w:val="fr"/>
        </w:rPr>
        <w:id w:val="1210242963"/>
        <w:docPartObj>
          <w:docPartGallery w:val="Page Numbers (Bottom of Page)"/>
          <w:docPartUnique/>
        </w:docPartObj>
      </w:sdtPr>
      <w:sdtEndPr>
        <w:rPr>
          <w:noProof/>
        </w:rPr>
      </w:sdtEndPr>
      <w:sdtContent>
        <w:r w:rsidRPr="0088004E">
          <w:rPr>
            <w:sz w:val="20"/>
          </w:rPr>
          <w:fldChar w:fldCharType="begin"/>
        </w:r>
        <w:r w:rsidRPr="0088004E">
          <w:rPr>
            <w:sz w:val="20"/>
            <w:rtl w:val="0"/>
            <w:lang w:val="fr"/>
          </w:rPr>
          <w:instrText xml:space="preserve"> PAGE   \* MERGEFORMAT </w:instrText>
        </w:r>
        <w:r w:rsidRPr="0088004E">
          <w:rPr>
            <w:sz w:val="20"/>
          </w:rPr>
          <w:fldChar w:fldCharType="separate"/>
        </w:r>
        <w:r w:rsidR="00E612D3">
          <w:rPr>
            <w:noProof/>
            <w:sz w:val="20"/>
            <w:rtl w:val="0"/>
            <w:lang w:val="fr"/>
          </w:rPr>
          <w:t>13</w:t>
        </w:r>
        <w:r w:rsidRPr="0088004E">
          <w:rPr>
            <w:noProof/>
            <w:sz w:val="20"/>
          </w:rPr>
          <w:fldChar w:fldCharType="end"/>
        </w:r>
        <w:r w:rsidRPr="0088004E">
          <w:rPr>
            <w:sz w:val="20"/>
            <w:rtl w:val="0"/>
            <w:lang w:val="fr"/>
          </w:rPr>
          <w:t xml:space="preserve"> de 11</w:t>
        </w:r>
      </w:sdtContent>
    </w:sdt>
  </w:p>
  <w:p w:rsidR="007E02DB" w:rsidRPr="001169E2" w14:paraId="1C3E890A" w14:textId="77777777">
    <w:pPr>
      <w:pStyle w:val="Footer"/>
      <w:rPr>
        <w:b/>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016F" w:rsidP="001E016F" w14:paraId="78244EA6" w14:textId="77777777">
    <w:pPr>
      <w:pStyle w:val="Header"/>
      <w:jc w:val="right"/>
      <w:rPr>
        <w:sz w:val="20"/>
        <w:szCs w:val="19"/>
      </w:rPr>
    </w:pPr>
    <w:r>
      <w:rPr>
        <w:noProof/>
      </w:rPr>
      <w:drawing>
        <wp:inline distT="0" distB="0" distL="0" distR="0">
          <wp:extent cx="1320800" cy="232663"/>
          <wp:effectExtent l="0" t="0" r="0" b="0"/>
          <wp:docPr id="1098455524" name="Picture 1" descr="A blue and black logo&#10;&#10;Description automatically generated">
            <a:extLst xmlns:a="http://schemas.openxmlformats.org/drawingml/2006/main">
              <a:ext xmlns:a="http://schemas.openxmlformats.org/drawingml/2006/main" uri="{FF2B5EF4-FFF2-40B4-BE49-F238E27FC236}">
                <a16:creationId xmlns:a16="http://schemas.microsoft.com/office/drawing/2014/main" id="{EB81F416-3C7F-4943-B65D-2128C1B55B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black logo&#10;&#10;Description automatically generated">
                    <a:extLst>
                      <a:ext xmlns:a="http://schemas.openxmlformats.org/drawingml/2006/main" uri="{FF2B5EF4-FFF2-40B4-BE49-F238E27FC236}">
                        <a16:creationId xmlns:a16="http://schemas.microsoft.com/office/drawing/2014/main" id="{EB81F416-3C7F-4943-B65D-2128C1B55B9B}"/>
                      </a:ext>
                    </a:extLst>
                  </pic:cNvPr>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51756" cy="238116"/>
                  </a:xfrm>
                  <a:prstGeom prst="rect">
                    <a:avLst/>
                  </a:prstGeom>
                </pic:spPr>
              </pic:pic>
            </a:graphicData>
          </a:graphic>
        </wp:inline>
      </w:drawing>
    </w:r>
  </w:p>
  <w:p w:rsidR="001E016F" w:rsidP="001E016F" w14:paraId="2EED3F68" w14:textId="77777777">
    <w:pPr>
      <w:pStyle w:val="Header"/>
      <w:jc w:val="right"/>
      <w:rPr>
        <w:sz w:val="20"/>
        <w:szCs w:val="19"/>
      </w:rPr>
    </w:pPr>
  </w:p>
  <w:p w:rsidR="007E02DB" w:rsidRPr="0051357C" w:rsidP="001E016F" w14:paraId="058BA07C" w14:textId="6FC3B0F0">
    <w:pPr>
      <w:pStyle w:val="Header"/>
      <w:bidi w:val="0"/>
      <w:jc w:val="right"/>
      <w:rPr>
        <w:rFonts w:asciiTheme="majorHAnsi" w:hAnsiTheme="majorHAnsi" w:cstheme="majorHAnsi"/>
        <w:sz w:val="20"/>
        <w:szCs w:val="19"/>
      </w:rPr>
    </w:pPr>
    <w:r w:rsidRPr="0051357C">
      <w:rPr>
        <w:rFonts w:asciiTheme="majorHAnsi" w:hAnsiTheme="majorHAnsi" w:cstheme="majorHAnsi"/>
        <w:sz w:val="20"/>
        <w:szCs w:val="19"/>
        <w:rtl w:val="0"/>
        <w:lang w:val="fr"/>
      </w:rPr>
      <w:t xml:space="preserve">Politique mondiale en matière de personnel intérimaire </w:t>
    </w:r>
  </w:p>
  <w:p w:rsidR="00ED0664" w:rsidRPr="0051357C" w:rsidP="0088004E" w14:paraId="143757F2" w14:textId="680FB43D">
    <w:pPr>
      <w:pStyle w:val="Header"/>
      <w:bidi w:val="0"/>
      <w:jc w:val="right"/>
      <w:rPr>
        <w:rFonts w:asciiTheme="majorHAnsi" w:hAnsiTheme="majorHAnsi" w:cstheme="majorHAnsi"/>
        <w:sz w:val="19"/>
        <w:szCs w:val="19"/>
      </w:rPr>
    </w:pPr>
    <w:r w:rsidRPr="0051357C">
      <w:rPr>
        <w:rFonts w:asciiTheme="majorHAnsi" w:hAnsiTheme="majorHAnsi" w:cstheme="majorHAnsi"/>
        <w:sz w:val="20"/>
        <w:szCs w:val="19"/>
        <w:rtl w:val="0"/>
        <w:lang w:val="fr"/>
      </w:rPr>
      <w:t>Dernière révision : 2 décembre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442FB2"/>
    <w:multiLevelType w:val="singleLevel"/>
    <w:tmpl w:val="EDB6F554"/>
    <w:lvl w:ilvl="0">
      <w:start w:val="1"/>
      <w:numFmt w:val="bullet"/>
      <w:pStyle w:val="TableBullet"/>
      <w:lvlText w:val=""/>
      <w:lvlJc w:val="left"/>
      <w:pPr>
        <w:tabs>
          <w:tab w:val="num" w:pos="360"/>
        </w:tabs>
        <w:ind w:left="360" w:hanging="360"/>
      </w:pPr>
      <w:rPr>
        <w:rFonts w:ascii="Symbol" w:hAnsi="Symbol" w:hint="default"/>
      </w:rPr>
    </w:lvl>
  </w:abstractNum>
  <w:abstractNum w:abstractNumId="1">
    <w:nsid w:val="2CA61E32"/>
    <w:multiLevelType w:val="multilevel"/>
    <w:tmpl w:val="5FC2FE70"/>
    <w:lvl w:ilvl="0">
      <w:start w:val="1"/>
      <w:numFmt w:val="upperRoman"/>
      <w:pStyle w:val="Heading1"/>
      <w:lvlText w:val="%1."/>
      <w:lvlJc w:val="left"/>
      <w:pPr>
        <w:ind w:left="0" w:firstLine="0"/>
      </w:pPr>
    </w:lvl>
    <w:lvl w:ilvl="1">
      <w:start w:val="1"/>
      <w:numFmt w:val="upperLetter"/>
      <w:pStyle w:val="Heading2"/>
      <w:lvlText w:val="%2."/>
      <w:lvlJc w:val="left"/>
      <w:pPr>
        <w:ind w:left="270" w:firstLine="0"/>
      </w:pPr>
      <w:rPr>
        <w:color w:val="auto"/>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nsid w:val="30E322D9"/>
    <w:multiLevelType w:val="hybridMultilevel"/>
    <w:tmpl w:val="25C412C0"/>
    <w:lvl w:ilvl="0">
      <w:start w:val="1"/>
      <w:numFmt w:val="bullet"/>
      <w:pStyle w:val="List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3">
    <w:nsid w:val="35AC3FD3"/>
    <w:multiLevelType w:val="multilevel"/>
    <w:tmpl w:val="A73E6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BA73CE"/>
    <w:multiLevelType w:val="hybridMultilevel"/>
    <w:tmpl w:val="3B0CAACA"/>
    <w:lvl w:ilvl="0">
      <w:start w:val="1"/>
      <w:numFmt w:val="bullet"/>
      <w:lvlText w:val=""/>
      <w:lvlJc w:val="left"/>
      <w:pPr>
        <w:tabs>
          <w:tab w:val="num" w:pos="360"/>
        </w:tabs>
        <w:ind w:left="360" w:hanging="360"/>
      </w:pPr>
      <w:rPr>
        <w:rFonts w:ascii="Wingdings" w:hAnsi="Wingdings" w:hint="default"/>
        <w:color w:val="auto"/>
      </w:rPr>
    </w:lvl>
    <w:lvl w:ilvl="1">
      <w:start w:val="1"/>
      <w:numFmt w:val="bullet"/>
      <w:pStyle w:val="TableBullet2"/>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43FE2933"/>
    <w:multiLevelType w:val="multilevel"/>
    <w:tmpl w:val="9F341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190FE9"/>
    <w:multiLevelType w:val="hybridMultilevel"/>
    <w:tmpl w:val="29AE5D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8DA5158"/>
    <w:multiLevelType w:val="multilevel"/>
    <w:tmpl w:val="CDD28D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AF1601"/>
    <w:multiLevelType w:val="hybridMultilevel"/>
    <w:tmpl w:val="C06A272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9AE5C92"/>
    <w:multiLevelType w:val="hybridMultilevel"/>
    <w:tmpl w:val="21E6B9C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9"/>
  </w:num>
  <w:num w:numId="6">
    <w:abstractNumId w:val="6"/>
  </w:num>
  <w:num w:numId="7">
    <w:abstractNumId w:val="8"/>
  </w:num>
  <w:num w:numId="8">
    <w:abstractNumId w:val="3"/>
  </w:num>
  <w:num w:numId="9">
    <w:abstractNumId w:val="5"/>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49"/>
    <w:rsid w:val="000011CB"/>
    <w:rsid w:val="00001A42"/>
    <w:rsid w:val="000025F7"/>
    <w:rsid w:val="00002B1A"/>
    <w:rsid w:val="00002C66"/>
    <w:rsid w:val="00003CA9"/>
    <w:rsid w:val="00005666"/>
    <w:rsid w:val="00006E5C"/>
    <w:rsid w:val="0001014C"/>
    <w:rsid w:val="000104AC"/>
    <w:rsid w:val="00011460"/>
    <w:rsid w:val="000117B6"/>
    <w:rsid w:val="00013616"/>
    <w:rsid w:val="000200EC"/>
    <w:rsid w:val="0002212F"/>
    <w:rsid w:val="00023788"/>
    <w:rsid w:val="00024885"/>
    <w:rsid w:val="00026127"/>
    <w:rsid w:val="00026C0F"/>
    <w:rsid w:val="00026F3C"/>
    <w:rsid w:val="00027249"/>
    <w:rsid w:val="00031E43"/>
    <w:rsid w:val="000322A9"/>
    <w:rsid w:val="00034769"/>
    <w:rsid w:val="000439D5"/>
    <w:rsid w:val="000447EA"/>
    <w:rsid w:val="00044C3A"/>
    <w:rsid w:val="00044CB4"/>
    <w:rsid w:val="0004799F"/>
    <w:rsid w:val="00050326"/>
    <w:rsid w:val="00050B4B"/>
    <w:rsid w:val="00051864"/>
    <w:rsid w:val="0005274B"/>
    <w:rsid w:val="00052988"/>
    <w:rsid w:val="00054CEE"/>
    <w:rsid w:val="00054CF0"/>
    <w:rsid w:val="000561C5"/>
    <w:rsid w:val="00056AE1"/>
    <w:rsid w:val="00056E23"/>
    <w:rsid w:val="0005720D"/>
    <w:rsid w:val="0006222E"/>
    <w:rsid w:val="0006239C"/>
    <w:rsid w:val="00062867"/>
    <w:rsid w:val="00064428"/>
    <w:rsid w:val="0006452C"/>
    <w:rsid w:val="00066023"/>
    <w:rsid w:val="00066940"/>
    <w:rsid w:val="000679BE"/>
    <w:rsid w:val="000710A9"/>
    <w:rsid w:val="00072C53"/>
    <w:rsid w:val="0007518F"/>
    <w:rsid w:val="0007629F"/>
    <w:rsid w:val="000776D0"/>
    <w:rsid w:val="00080AEA"/>
    <w:rsid w:val="000815AD"/>
    <w:rsid w:val="00082C0F"/>
    <w:rsid w:val="0008480B"/>
    <w:rsid w:val="0009048A"/>
    <w:rsid w:val="00090EDB"/>
    <w:rsid w:val="00091223"/>
    <w:rsid w:val="0009220E"/>
    <w:rsid w:val="00092D40"/>
    <w:rsid w:val="000942C3"/>
    <w:rsid w:val="00095503"/>
    <w:rsid w:val="00095A11"/>
    <w:rsid w:val="00096E98"/>
    <w:rsid w:val="00097E3B"/>
    <w:rsid w:val="000B0510"/>
    <w:rsid w:val="000B1113"/>
    <w:rsid w:val="000B12A2"/>
    <w:rsid w:val="000B581D"/>
    <w:rsid w:val="000B5B33"/>
    <w:rsid w:val="000B5DEA"/>
    <w:rsid w:val="000B6CBA"/>
    <w:rsid w:val="000B76B4"/>
    <w:rsid w:val="000C1CF9"/>
    <w:rsid w:val="000C1FED"/>
    <w:rsid w:val="000C4BEC"/>
    <w:rsid w:val="000D196D"/>
    <w:rsid w:val="000D597D"/>
    <w:rsid w:val="000D7B33"/>
    <w:rsid w:val="000E1269"/>
    <w:rsid w:val="000E19B5"/>
    <w:rsid w:val="000E1C2A"/>
    <w:rsid w:val="000E236C"/>
    <w:rsid w:val="000E6635"/>
    <w:rsid w:val="000E6BF3"/>
    <w:rsid w:val="000E7031"/>
    <w:rsid w:val="000E7A75"/>
    <w:rsid w:val="000F22CB"/>
    <w:rsid w:val="000F2F10"/>
    <w:rsid w:val="000F4767"/>
    <w:rsid w:val="000F4D50"/>
    <w:rsid w:val="000F50AF"/>
    <w:rsid w:val="000F66A3"/>
    <w:rsid w:val="000F7303"/>
    <w:rsid w:val="000F7428"/>
    <w:rsid w:val="000F7575"/>
    <w:rsid w:val="000F7F75"/>
    <w:rsid w:val="0010215A"/>
    <w:rsid w:val="00104665"/>
    <w:rsid w:val="00104C28"/>
    <w:rsid w:val="0010659C"/>
    <w:rsid w:val="001112FA"/>
    <w:rsid w:val="00111D7A"/>
    <w:rsid w:val="00113941"/>
    <w:rsid w:val="0011636F"/>
    <w:rsid w:val="00116492"/>
    <w:rsid w:val="001169E2"/>
    <w:rsid w:val="00117AF6"/>
    <w:rsid w:val="001201E3"/>
    <w:rsid w:val="00120E55"/>
    <w:rsid w:val="001223DD"/>
    <w:rsid w:val="001223E3"/>
    <w:rsid w:val="00122AF6"/>
    <w:rsid w:val="0012377B"/>
    <w:rsid w:val="00125E68"/>
    <w:rsid w:val="001274CE"/>
    <w:rsid w:val="0012791A"/>
    <w:rsid w:val="0013134C"/>
    <w:rsid w:val="00133080"/>
    <w:rsid w:val="00134168"/>
    <w:rsid w:val="00134918"/>
    <w:rsid w:val="00135945"/>
    <w:rsid w:val="00141344"/>
    <w:rsid w:val="00141A2C"/>
    <w:rsid w:val="00142B9D"/>
    <w:rsid w:val="001430E4"/>
    <w:rsid w:val="00145D5C"/>
    <w:rsid w:val="001461E2"/>
    <w:rsid w:val="00146F74"/>
    <w:rsid w:val="00147AE9"/>
    <w:rsid w:val="00150609"/>
    <w:rsid w:val="00150C9D"/>
    <w:rsid w:val="00153EA4"/>
    <w:rsid w:val="001542E6"/>
    <w:rsid w:val="001551A5"/>
    <w:rsid w:val="0015669C"/>
    <w:rsid w:val="00157F69"/>
    <w:rsid w:val="001606B6"/>
    <w:rsid w:val="00160996"/>
    <w:rsid w:val="00160C8F"/>
    <w:rsid w:val="00161E4F"/>
    <w:rsid w:val="0016204C"/>
    <w:rsid w:val="00162A8C"/>
    <w:rsid w:val="00163A6C"/>
    <w:rsid w:val="00165268"/>
    <w:rsid w:val="00165A27"/>
    <w:rsid w:val="0017056B"/>
    <w:rsid w:val="00170A83"/>
    <w:rsid w:val="001725ED"/>
    <w:rsid w:val="00172A19"/>
    <w:rsid w:val="00172C99"/>
    <w:rsid w:val="00173781"/>
    <w:rsid w:val="00175B1D"/>
    <w:rsid w:val="00177EE1"/>
    <w:rsid w:val="0018244F"/>
    <w:rsid w:val="00182AC1"/>
    <w:rsid w:val="00183AC5"/>
    <w:rsid w:val="00183C98"/>
    <w:rsid w:val="00184BDA"/>
    <w:rsid w:val="00186E34"/>
    <w:rsid w:val="001871C6"/>
    <w:rsid w:val="00190B85"/>
    <w:rsid w:val="00190D8A"/>
    <w:rsid w:val="0019196A"/>
    <w:rsid w:val="001920E8"/>
    <w:rsid w:val="001928DE"/>
    <w:rsid w:val="0019688D"/>
    <w:rsid w:val="001A08E9"/>
    <w:rsid w:val="001A1A27"/>
    <w:rsid w:val="001A1F7D"/>
    <w:rsid w:val="001A2505"/>
    <w:rsid w:val="001A3173"/>
    <w:rsid w:val="001A527A"/>
    <w:rsid w:val="001A5AC0"/>
    <w:rsid w:val="001A7AA9"/>
    <w:rsid w:val="001B147D"/>
    <w:rsid w:val="001B198B"/>
    <w:rsid w:val="001B20A3"/>
    <w:rsid w:val="001B22E4"/>
    <w:rsid w:val="001B2962"/>
    <w:rsid w:val="001B369F"/>
    <w:rsid w:val="001B413B"/>
    <w:rsid w:val="001B55D7"/>
    <w:rsid w:val="001B74E4"/>
    <w:rsid w:val="001C22CD"/>
    <w:rsid w:val="001C4271"/>
    <w:rsid w:val="001C45C6"/>
    <w:rsid w:val="001C4B8D"/>
    <w:rsid w:val="001C5E7D"/>
    <w:rsid w:val="001C65FA"/>
    <w:rsid w:val="001C66EF"/>
    <w:rsid w:val="001C7BEC"/>
    <w:rsid w:val="001D049B"/>
    <w:rsid w:val="001D10BB"/>
    <w:rsid w:val="001D2A5E"/>
    <w:rsid w:val="001D3B25"/>
    <w:rsid w:val="001D455C"/>
    <w:rsid w:val="001E016F"/>
    <w:rsid w:val="001E5866"/>
    <w:rsid w:val="001E785E"/>
    <w:rsid w:val="001F096A"/>
    <w:rsid w:val="001F184D"/>
    <w:rsid w:val="001F1AF3"/>
    <w:rsid w:val="001F1C3B"/>
    <w:rsid w:val="001F1C9A"/>
    <w:rsid w:val="001F296D"/>
    <w:rsid w:val="001F2EE5"/>
    <w:rsid w:val="001F46CB"/>
    <w:rsid w:val="001F5235"/>
    <w:rsid w:val="001F5D85"/>
    <w:rsid w:val="001F62AF"/>
    <w:rsid w:val="001F68D2"/>
    <w:rsid w:val="002000DC"/>
    <w:rsid w:val="002007A3"/>
    <w:rsid w:val="00202563"/>
    <w:rsid w:val="00202823"/>
    <w:rsid w:val="0020484F"/>
    <w:rsid w:val="0020592B"/>
    <w:rsid w:val="00207100"/>
    <w:rsid w:val="00210416"/>
    <w:rsid w:val="002131B9"/>
    <w:rsid w:val="0021425F"/>
    <w:rsid w:val="002159B2"/>
    <w:rsid w:val="0022318B"/>
    <w:rsid w:val="0022371B"/>
    <w:rsid w:val="00224604"/>
    <w:rsid w:val="00224AB6"/>
    <w:rsid w:val="00227034"/>
    <w:rsid w:val="00230933"/>
    <w:rsid w:val="00230BDB"/>
    <w:rsid w:val="00232C1C"/>
    <w:rsid w:val="00233342"/>
    <w:rsid w:val="002333FF"/>
    <w:rsid w:val="0023407D"/>
    <w:rsid w:val="00237960"/>
    <w:rsid w:val="00237CA9"/>
    <w:rsid w:val="002417BE"/>
    <w:rsid w:val="00242FA4"/>
    <w:rsid w:val="002436BF"/>
    <w:rsid w:val="002467C6"/>
    <w:rsid w:val="002512BF"/>
    <w:rsid w:val="00255ABC"/>
    <w:rsid w:val="00260249"/>
    <w:rsid w:val="00262C88"/>
    <w:rsid w:val="00263999"/>
    <w:rsid w:val="00263CCA"/>
    <w:rsid w:val="00263DCC"/>
    <w:rsid w:val="00264C83"/>
    <w:rsid w:val="00264FCD"/>
    <w:rsid w:val="00265B75"/>
    <w:rsid w:val="00266484"/>
    <w:rsid w:val="002700AE"/>
    <w:rsid w:val="00276EF9"/>
    <w:rsid w:val="00277653"/>
    <w:rsid w:val="002821D0"/>
    <w:rsid w:val="00282DB4"/>
    <w:rsid w:val="00283D51"/>
    <w:rsid w:val="00284EB2"/>
    <w:rsid w:val="00286115"/>
    <w:rsid w:val="00286765"/>
    <w:rsid w:val="00286F56"/>
    <w:rsid w:val="0028735B"/>
    <w:rsid w:val="00292F5A"/>
    <w:rsid w:val="002938A5"/>
    <w:rsid w:val="00293F96"/>
    <w:rsid w:val="00296678"/>
    <w:rsid w:val="00297D78"/>
    <w:rsid w:val="00297E29"/>
    <w:rsid w:val="002A0774"/>
    <w:rsid w:val="002A0F0C"/>
    <w:rsid w:val="002A6543"/>
    <w:rsid w:val="002A708C"/>
    <w:rsid w:val="002A7F64"/>
    <w:rsid w:val="002B025A"/>
    <w:rsid w:val="002B0A60"/>
    <w:rsid w:val="002B1263"/>
    <w:rsid w:val="002B28DC"/>
    <w:rsid w:val="002B29E4"/>
    <w:rsid w:val="002B3CEE"/>
    <w:rsid w:val="002B5B85"/>
    <w:rsid w:val="002B63CF"/>
    <w:rsid w:val="002B6672"/>
    <w:rsid w:val="002C0CA7"/>
    <w:rsid w:val="002C2C1A"/>
    <w:rsid w:val="002C33BB"/>
    <w:rsid w:val="002C35B9"/>
    <w:rsid w:val="002C3705"/>
    <w:rsid w:val="002C7FAC"/>
    <w:rsid w:val="002D03F2"/>
    <w:rsid w:val="002D24FF"/>
    <w:rsid w:val="002D38EF"/>
    <w:rsid w:val="002E0C75"/>
    <w:rsid w:val="002E30B6"/>
    <w:rsid w:val="002E64CA"/>
    <w:rsid w:val="002F1868"/>
    <w:rsid w:val="002F197E"/>
    <w:rsid w:val="002F2B5A"/>
    <w:rsid w:val="002F492E"/>
    <w:rsid w:val="002F574B"/>
    <w:rsid w:val="002F653D"/>
    <w:rsid w:val="002F6EC9"/>
    <w:rsid w:val="00300A55"/>
    <w:rsid w:val="0030142F"/>
    <w:rsid w:val="00302253"/>
    <w:rsid w:val="00302EF9"/>
    <w:rsid w:val="003062AD"/>
    <w:rsid w:val="00310619"/>
    <w:rsid w:val="0031176B"/>
    <w:rsid w:val="00312760"/>
    <w:rsid w:val="00314945"/>
    <w:rsid w:val="003150EE"/>
    <w:rsid w:val="003155B3"/>
    <w:rsid w:val="003156D4"/>
    <w:rsid w:val="0031699E"/>
    <w:rsid w:val="003206D4"/>
    <w:rsid w:val="0032378E"/>
    <w:rsid w:val="00324706"/>
    <w:rsid w:val="00325329"/>
    <w:rsid w:val="003269DF"/>
    <w:rsid w:val="003274CF"/>
    <w:rsid w:val="00330E2B"/>
    <w:rsid w:val="003317A5"/>
    <w:rsid w:val="00336AF3"/>
    <w:rsid w:val="00337B8A"/>
    <w:rsid w:val="003402B5"/>
    <w:rsid w:val="00341C43"/>
    <w:rsid w:val="00341F30"/>
    <w:rsid w:val="00342E56"/>
    <w:rsid w:val="00343072"/>
    <w:rsid w:val="00344F46"/>
    <w:rsid w:val="003464B7"/>
    <w:rsid w:val="003467A7"/>
    <w:rsid w:val="00351036"/>
    <w:rsid w:val="003516EF"/>
    <w:rsid w:val="00351972"/>
    <w:rsid w:val="00355B9F"/>
    <w:rsid w:val="0035609A"/>
    <w:rsid w:val="00362993"/>
    <w:rsid w:val="0036756B"/>
    <w:rsid w:val="00371264"/>
    <w:rsid w:val="00371B0A"/>
    <w:rsid w:val="00372EEF"/>
    <w:rsid w:val="0037353F"/>
    <w:rsid w:val="003802B6"/>
    <w:rsid w:val="003823C8"/>
    <w:rsid w:val="00383254"/>
    <w:rsid w:val="0038394D"/>
    <w:rsid w:val="00385EBC"/>
    <w:rsid w:val="00386D47"/>
    <w:rsid w:val="00387FBE"/>
    <w:rsid w:val="0039343D"/>
    <w:rsid w:val="00396A87"/>
    <w:rsid w:val="003971DC"/>
    <w:rsid w:val="00397CE9"/>
    <w:rsid w:val="00397D67"/>
    <w:rsid w:val="00397E2E"/>
    <w:rsid w:val="003A1B39"/>
    <w:rsid w:val="003A36E4"/>
    <w:rsid w:val="003A3A91"/>
    <w:rsid w:val="003A3DE7"/>
    <w:rsid w:val="003A5F43"/>
    <w:rsid w:val="003A6BF9"/>
    <w:rsid w:val="003B0A0F"/>
    <w:rsid w:val="003B1541"/>
    <w:rsid w:val="003B208A"/>
    <w:rsid w:val="003B2A40"/>
    <w:rsid w:val="003B7F5A"/>
    <w:rsid w:val="003C1B08"/>
    <w:rsid w:val="003C29C4"/>
    <w:rsid w:val="003C573A"/>
    <w:rsid w:val="003C6DC6"/>
    <w:rsid w:val="003D042A"/>
    <w:rsid w:val="003D1483"/>
    <w:rsid w:val="003D39A5"/>
    <w:rsid w:val="003D5CC6"/>
    <w:rsid w:val="003E06C9"/>
    <w:rsid w:val="003E17FD"/>
    <w:rsid w:val="003E225E"/>
    <w:rsid w:val="003E273A"/>
    <w:rsid w:val="003E3254"/>
    <w:rsid w:val="003E3331"/>
    <w:rsid w:val="003E42B9"/>
    <w:rsid w:val="003E512C"/>
    <w:rsid w:val="003E5880"/>
    <w:rsid w:val="003E5A2B"/>
    <w:rsid w:val="003E6A16"/>
    <w:rsid w:val="003E6CBD"/>
    <w:rsid w:val="003E76ED"/>
    <w:rsid w:val="003F0DC7"/>
    <w:rsid w:val="003F1542"/>
    <w:rsid w:val="003F1B5B"/>
    <w:rsid w:val="003F2301"/>
    <w:rsid w:val="003F41A5"/>
    <w:rsid w:val="0040024C"/>
    <w:rsid w:val="00400C2C"/>
    <w:rsid w:val="004023BB"/>
    <w:rsid w:val="00403E4C"/>
    <w:rsid w:val="00404289"/>
    <w:rsid w:val="004046AB"/>
    <w:rsid w:val="00405601"/>
    <w:rsid w:val="00411C64"/>
    <w:rsid w:val="0041224D"/>
    <w:rsid w:val="00412588"/>
    <w:rsid w:val="00413753"/>
    <w:rsid w:val="00415E01"/>
    <w:rsid w:val="0041602C"/>
    <w:rsid w:val="00416D23"/>
    <w:rsid w:val="00417648"/>
    <w:rsid w:val="004208EF"/>
    <w:rsid w:val="00423067"/>
    <w:rsid w:val="0042543F"/>
    <w:rsid w:val="0042629E"/>
    <w:rsid w:val="004302F0"/>
    <w:rsid w:val="004338BB"/>
    <w:rsid w:val="00434957"/>
    <w:rsid w:val="00434A35"/>
    <w:rsid w:val="004358EB"/>
    <w:rsid w:val="00436361"/>
    <w:rsid w:val="00437028"/>
    <w:rsid w:val="004377E9"/>
    <w:rsid w:val="004458A4"/>
    <w:rsid w:val="0044697D"/>
    <w:rsid w:val="00447C59"/>
    <w:rsid w:val="00450420"/>
    <w:rsid w:val="00450879"/>
    <w:rsid w:val="00454939"/>
    <w:rsid w:val="00455443"/>
    <w:rsid w:val="00455ADA"/>
    <w:rsid w:val="00456429"/>
    <w:rsid w:val="0045642A"/>
    <w:rsid w:val="0045678D"/>
    <w:rsid w:val="004613FB"/>
    <w:rsid w:val="00462060"/>
    <w:rsid w:val="00463DFF"/>
    <w:rsid w:val="00466372"/>
    <w:rsid w:val="0046641F"/>
    <w:rsid w:val="00466E01"/>
    <w:rsid w:val="00472400"/>
    <w:rsid w:val="00472540"/>
    <w:rsid w:val="00473D03"/>
    <w:rsid w:val="00473E97"/>
    <w:rsid w:val="00474738"/>
    <w:rsid w:val="00476B26"/>
    <w:rsid w:val="00476DD2"/>
    <w:rsid w:val="00476F68"/>
    <w:rsid w:val="00480403"/>
    <w:rsid w:val="00484EE0"/>
    <w:rsid w:val="00486C1F"/>
    <w:rsid w:val="00487DC9"/>
    <w:rsid w:val="00492943"/>
    <w:rsid w:val="00493EF2"/>
    <w:rsid w:val="00494746"/>
    <w:rsid w:val="00497784"/>
    <w:rsid w:val="004A040D"/>
    <w:rsid w:val="004A4C3B"/>
    <w:rsid w:val="004A4CB9"/>
    <w:rsid w:val="004A5882"/>
    <w:rsid w:val="004A5981"/>
    <w:rsid w:val="004A5ABA"/>
    <w:rsid w:val="004B1841"/>
    <w:rsid w:val="004B21AF"/>
    <w:rsid w:val="004B3BF1"/>
    <w:rsid w:val="004B59AE"/>
    <w:rsid w:val="004B5AA2"/>
    <w:rsid w:val="004B6DE1"/>
    <w:rsid w:val="004B7753"/>
    <w:rsid w:val="004B7B87"/>
    <w:rsid w:val="004C249C"/>
    <w:rsid w:val="004C5231"/>
    <w:rsid w:val="004C6A30"/>
    <w:rsid w:val="004C6D39"/>
    <w:rsid w:val="004C72DD"/>
    <w:rsid w:val="004C7E19"/>
    <w:rsid w:val="004D1001"/>
    <w:rsid w:val="004D11EA"/>
    <w:rsid w:val="004D1F4E"/>
    <w:rsid w:val="004D4194"/>
    <w:rsid w:val="004D4440"/>
    <w:rsid w:val="004D6016"/>
    <w:rsid w:val="004D6BF1"/>
    <w:rsid w:val="004D7210"/>
    <w:rsid w:val="004E2545"/>
    <w:rsid w:val="004E33A8"/>
    <w:rsid w:val="004E3427"/>
    <w:rsid w:val="004E3658"/>
    <w:rsid w:val="004E47E2"/>
    <w:rsid w:val="004E4EAB"/>
    <w:rsid w:val="004E6945"/>
    <w:rsid w:val="004E717E"/>
    <w:rsid w:val="004E749B"/>
    <w:rsid w:val="004E78F9"/>
    <w:rsid w:val="004F0C57"/>
    <w:rsid w:val="004F2E81"/>
    <w:rsid w:val="005004B6"/>
    <w:rsid w:val="005004BB"/>
    <w:rsid w:val="00500682"/>
    <w:rsid w:val="0050147B"/>
    <w:rsid w:val="00505D00"/>
    <w:rsid w:val="0050667B"/>
    <w:rsid w:val="00511372"/>
    <w:rsid w:val="0051357C"/>
    <w:rsid w:val="00516807"/>
    <w:rsid w:val="00517480"/>
    <w:rsid w:val="0052006D"/>
    <w:rsid w:val="00522C55"/>
    <w:rsid w:val="00523910"/>
    <w:rsid w:val="00524EB4"/>
    <w:rsid w:val="00524F72"/>
    <w:rsid w:val="00525081"/>
    <w:rsid w:val="00526800"/>
    <w:rsid w:val="00526C68"/>
    <w:rsid w:val="005308D4"/>
    <w:rsid w:val="00532007"/>
    <w:rsid w:val="005337EA"/>
    <w:rsid w:val="00535770"/>
    <w:rsid w:val="00536297"/>
    <w:rsid w:val="00536529"/>
    <w:rsid w:val="005367ED"/>
    <w:rsid w:val="00542714"/>
    <w:rsid w:val="0054385E"/>
    <w:rsid w:val="00544B6A"/>
    <w:rsid w:val="00544C25"/>
    <w:rsid w:val="005454F8"/>
    <w:rsid w:val="00547358"/>
    <w:rsid w:val="0054752F"/>
    <w:rsid w:val="00553878"/>
    <w:rsid w:val="00553BC8"/>
    <w:rsid w:val="0055536A"/>
    <w:rsid w:val="0055735A"/>
    <w:rsid w:val="00567127"/>
    <w:rsid w:val="00570203"/>
    <w:rsid w:val="00571DAC"/>
    <w:rsid w:val="00574085"/>
    <w:rsid w:val="005743B7"/>
    <w:rsid w:val="00575F28"/>
    <w:rsid w:val="0057783B"/>
    <w:rsid w:val="00577A70"/>
    <w:rsid w:val="00577BD6"/>
    <w:rsid w:val="00577EB8"/>
    <w:rsid w:val="005804F5"/>
    <w:rsid w:val="005816E0"/>
    <w:rsid w:val="00585E9F"/>
    <w:rsid w:val="00587F5D"/>
    <w:rsid w:val="00590A8D"/>
    <w:rsid w:val="00590DF0"/>
    <w:rsid w:val="00592474"/>
    <w:rsid w:val="00592AE0"/>
    <w:rsid w:val="00592B2D"/>
    <w:rsid w:val="00593902"/>
    <w:rsid w:val="00594424"/>
    <w:rsid w:val="0059487B"/>
    <w:rsid w:val="00594FD4"/>
    <w:rsid w:val="00595EB1"/>
    <w:rsid w:val="00597384"/>
    <w:rsid w:val="005A0F86"/>
    <w:rsid w:val="005A1B76"/>
    <w:rsid w:val="005A2993"/>
    <w:rsid w:val="005A4C4A"/>
    <w:rsid w:val="005A4DCC"/>
    <w:rsid w:val="005A5861"/>
    <w:rsid w:val="005A6272"/>
    <w:rsid w:val="005A6F02"/>
    <w:rsid w:val="005A7D67"/>
    <w:rsid w:val="005B0466"/>
    <w:rsid w:val="005B05D6"/>
    <w:rsid w:val="005B1562"/>
    <w:rsid w:val="005B233D"/>
    <w:rsid w:val="005B354A"/>
    <w:rsid w:val="005B3B87"/>
    <w:rsid w:val="005B3D2C"/>
    <w:rsid w:val="005B6160"/>
    <w:rsid w:val="005C4F47"/>
    <w:rsid w:val="005C69CE"/>
    <w:rsid w:val="005D0355"/>
    <w:rsid w:val="005D0F81"/>
    <w:rsid w:val="005D22ED"/>
    <w:rsid w:val="005D33C0"/>
    <w:rsid w:val="005D33C3"/>
    <w:rsid w:val="005D510E"/>
    <w:rsid w:val="005D5F44"/>
    <w:rsid w:val="005D6B24"/>
    <w:rsid w:val="005E1502"/>
    <w:rsid w:val="005E343B"/>
    <w:rsid w:val="005E363D"/>
    <w:rsid w:val="005E5BC3"/>
    <w:rsid w:val="005F009E"/>
    <w:rsid w:val="005F1DCA"/>
    <w:rsid w:val="005F3D1A"/>
    <w:rsid w:val="005F4E79"/>
    <w:rsid w:val="005F53F9"/>
    <w:rsid w:val="005F58DF"/>
    <w:rsid w:val="00600AAB"/>
    <w:rsid w:val="00600C89"/>
    <w:rsid w:val="00601A34"/>
    <w:rsid w:val="00603842"/>
    <w:rsid w:val="006049F9"/>
    <w:rsid w:val="006053EF"/>
    <w:rsid w:val="00610492"/>
    <w:rsid w:val="0061434A"/>
    <w:rsid w:val="00614B3B"/>
    <w:rsid w:val="0061532C"/>
    <w:rsid w:val="00615516"/>
    <w:rsid w:val="00615970"/>
    <w:rsid w:val="00617ECF"/>
    <w:rsid w:val="00622197"/>
    <w:rsid w:val="006231F8"/>
    <w:rsid w:val="0062644A"/>
    <w:rsid w:val="00627D86"/>
    <w:rsid w:val="00630983"/>
    <w:rsid w:val="00630A98"/>
    <w:rsid w:val="0063499A"/>
    <w:rsid w:val="00634ACB"/>
    <w:rsid w:val="006357DC"/>
    <w:rsid w:val="006368ED"/>
    <w:rsid w:val="006375F8"/>
    <w:rsid w:val="00640AD9"/>
    <w:rsid w:val="0064257B"/>
    <w:rsid w:val="00642BD5"/>
    <w:rsid w:val="00644C54"/>
    <w:rsid w:val="00646015"/>
    <w:rsid w:val="00651103"/>
    <w:rsid w:val="006536B1"/>
    <w:rsid w:val="00654EF2"/>
    <w:rsid w:val="006566BC"/>
    <w:rsid w:val="00656BCC"/>
    <w:rsid w:val="00660834"/>
    <w:rsid w:val="00662BA6"/>
    <w:rsid w:val="00663024"/>
    <w:rsid w:val="006662DF"/>
    <w:rsid w:val="00666894"/>
    <w:rsid w:val="00667221"/>
    <w:rsid w:val="00673FC4"/>
    <w:rsid w:val="00677DE3"/>
    <w:rsid w:val="00677E25"/>
    <w:rsid w:val="00681A52"/>
    <w:rsid w:val="00683D29"/>
    <w:rsid w:val="00686753"/>
    <w:rsid w:val="00686C24"/>
    <w:rsid w:val="00687ACC"/>
    <w:rsid w:val="006909E9"/>
    <w:rsid w:val="0069198D"/>
    <w:rsid w:val="00692077"/>
    <w:rsid w:val="00693945"/>
    <w:rsid w:val="00694062"/>
    <w:rsid w:val="006942B7"/>
    <w:rsid w:val="006952A7"/>
    <w:rsid w:val="00696510"/>
    <w:rsid w:val="00696AB0"/>
    <w:rsid w:val="00696E59"/>
    <w:rsid w:val="006A3873"/>
    <w:rsid w:val="006A3993"/>
    <w:rsid w:val="006A5336"/>
    <w:rsid w:val="006A5C62"/>
    <w:rsid w:val="006A6694"/>
    <w:rsid w:val="006A7655"/>
    <w:rsid w:val="006B02F5"/>
    <w:rsid w:val="006B13F0"/>
    <w:rsid w:val="006B2DDC"/>
    <w:rsid w:val="006B3752"/>
    <w:rsid w:val="006B63A9"/>
    <w:rsid w:val="006B67D6"/>
    <w:rsid w:val="006B7171"/>
    <w:rsid w:val="006B7893"/>
    <w:rsid w:val="006C0975"/>
    <w:rsid w:val="006C11EA"/>
    <w:rsid w:val="006C20FB"/>
    <w:rsid w:val="006C2A90"/>
    <w:rsid w:val="006C341A"/>
    <w:rsid w:val="006C3EBE"/>
    <w:rsid w:val="006C3F6E"/>
    <w:rsid w:val="006C451A"/>
    <w:rsid w:val="006C578A"/>
    <w:rsid w:val="006C5D76"/>
    <w:rsid w:val="006C6298"/>
    <w:rsid w:val="006D1D3E"/>
    <w:rsid w:val="006D2932"/>
    <w:rsid w:val="006D32E8"/>
    <w:rsid w:val="006D35A3"/>
    <w:rsid w:val="006D3EA4"/>
    <w:rsid w:val="006D3F7B"/>
    <w:rsid w:val="006D468D"/>
    <w:rsid w:val="006D64A8"/>
    <w:rsid w:val="006D6813"/>
    <w:rsid w:val="006E001B"/>
    <w:rsid w:val="006E0684"/>
    <w:rsid w:val="006E0749"/>
    <w:rsid w:val="006E1E21"/>
    <w:rsid w:val="006E1ECC"/>
    <w:rsid w:val="006E49C3"/>
    <w:rsid w:val="006E53F7"/>
    <w:rsid w:val="006E5525"/>
    <w:rsid w:val="006E7F08"/>
    <w:rsid w:val="006F2F0E"/>
    <w:rsid w:val="006F3B24"/>
    <w:rsid w:val="006F465E"/>
    <w:rsid w:val="006F4F02"/>
    <w:rsid w:val="006F5304"/>
    <w:rsid w:val="006F5980"/>
    <w:rsid w:val="006F655F"/>
    <w:rsid w:val="006F700D"/>
    <w:rsid w:val="00700822"/>
    <w:rsid w:val="00701FDC"/>
    <w:rsid w:val="0070296B"/>
    <w:rsid w:val="00703DC3"/>
    <w:rsid w:val="007061CA"/>
    <w:rsid w:val="007061CF"/>
    <w:rsid w:val="007068B6"/>
    <w:rsid w:val="007111B1"/>
    <w:rsid w:val="00713C68"/>
    <w:rsid w:val="007142C7"/>
    <w:rsid w:val="007164DE"/>
    <w:rsid w:val="00716D3D"/>
    <w:rsid w:val="007171DE"/>
    <w:rsid w:val="00721BB8"/>
    <w:rsid w:val="00721E1D"/>
    <w:rsid w:val="00723B0B"/>
    <w:rsid w:val="007250A0"/>
    <w:rsid w:val="00726048"/>
    <w:rsid w:val="0072734D"/>
    <w:rsid w:val="00730EAF"/>
    <w:rsid w:val="00730F13"/>
    <w:rsid w:val="00734B86"/>
    <w:rsid w:val="00735972"/>
    <w:rsid w:val="00736023"/>
    <w:rsid w:val="0074239A"/>
    <w:rsid w:val="007427E9"/>
    <w:rsid w:val="007471E3"/>
    <w:rsid w:val="0075082F"/>
    <w:rsid w:val="00751AF9"/>
    <w:rsid w:val="00751FD1"/>
    <w:rsid w:val="00753A13"/>
    <w:rsid w:val="00756FBC"/>
    <w:rsid w:val="0075773A"/>
    <w:rsid w:val="007638A0"/>
    <w:rsid w:val="00767572"/>
    <w:rsid w:val="00767F25"/>
    <w:rsid w:val="00772836"/>
    <w:rsid w:val="007730F9"/>
    <w:rsid w:val="0077317B"/>
    <w:rsid w:val="007734B3"/>
    <w:rsid w:val="00782377"/>
    <w:rsid w:val="00782460"/>
    <w:rsid w:val="007824F7"/>
    <w:rsid w:val="00782863"/>
    <w:rsid w:val="00782CF4"/>
    <w:rsid w:val="00783FA9"/>
    <w:rsid w:val="0078474A"/>
    <w:rsid w:val="00786127"/>
    <w:rsid w:val="007866F5"/>
    <w:rsid w:val="00786AC3"/>
    <w:rsid w:val="007873C7"/>
    <w:rsid w:val="007921A8"/>
    <w:rsid w:val="0079483E"/>
    <w:rsid w:val="007A1771"/>
    <w:rsid w:val="007A2107"/>
    <w:rsid w:val="007A38C0"/>
    <w:rsid w:val="007A5574"/>
    <w:rsid w:val="007A5A30"/>
    <w:rsid w:val="007B1EF2"/>
    <w:rsid w:val="007B31EF"/>
    <w:rsid w:val="007B411D"/>
    <w:rsid w:val="007B6667"/>
    <w:rsid w:val="007C0253"/>
    <w:rsid w:val="007C3DE0"/>
    <w:rsid w:val="007C4E36"/>
    <w:rsid w:val="007D151A"/>
    <w:rsid w:val="007D2D0B"/>
    <w:rsid w:val="007D3C5F"/>
    <w:rsid w:val="007D3DCC"/>
    <w:rsid w:val="007D4AFA"/>
    <w:rsid w:val="007D6515"/>
    <w:rsid w:val="007E02DB"/>
    <w:rsid w:val="007E49DA"/>
    <w:rsid w:val="007E66C1"/>
    <w:rsid w:val="007E7BBC"/>
    <w:rsid w:val="007E7C0C"/>
    <w:rsid w:val="007F342A"/>
    <w:rsid w:val="007F3538"/>
    <w:rsid w:val="007F4EE7"/>
    <w:rsid w:val="007F57C1"/>
    <w:rsid w:val="007F5818"/>
    <w:rsid w:val="007F6BCA"/>
    <w:rsid w:val="007F715F"/>
    <w:rsid w:val="007F7ACC"/>
    <w:rsid w:val="008022D3"/>
    <w:rsid w:val="00804C2C"/>
    <w:rsid w:val="00810051"/>
    <w:rsid w:val="008117F9"/>
    <w:rsid w:val="00811B3E"/>
    <w:rsid w:val="00811D34"/>
    <w:rsid w:val="00812012"/>
    <w:rsid w:val="00813521"/>
    <w:rsid w:val="008137BE"/>
    <w:rsid w:val="008161DD"/>
    <w:rsid w:val="00817956"/>
    <w:rsid w:val="00820532"/>
    <w:rsid w:val="008219E2"/>
    <w:rsid w:val="00822150"/>
    <w:rsid w:val="00823679"/>
    <w:rsid w:val="00824FA5"/>
    <w:rsid w:val="00825773"/>
    <w:rsid w:val="008270D5"/>
    <w:rsid w:val="0083299B"/>
    <w:rsid w:val="00833B87"/>
    <w:rsid w:val="008352B7"/>
    <w:rsid w:val="00836DB9"/>
    <w:rsid w:val="008371BD"/>
    <w:rsid w:val="00837621"/>
    <w:rsid w:val="00842544"/>
    <w:rsid w:val="00844954"/>
    <w:rsid w:val="00844D4F"/>
    <w:rsid w:val="008464AB"/>
    <w:rsid w:val="00847210"/>
    <w:rsid w:val="00847EA7"/>
    <w:rsid w:val="00851A67"/>
    <w:rsid w:val="00852809"/>
    <w:rsid w:val="00852C02"/>
    <w:rsid w:val="00853891"/>
    <w:rsid w:val="0085579B"/>
    <w:rsid w:val="008558C1"/>
    <w:rsid w:val="00855AA8"/>
    <w:rsid w:val="00855AE3"/>
    <w:rsid w:val="00856A17"/>
    <w:rsid w:val="00856E09"/>
    <w:rsid w:val="00856FBB"/>
    <w:rsid w:val="0086096C"/>
    <w:rsid w:val="00861F49"/>
    <w:rsid w:val="00863774"/>
    <w:rsid w:val="0086400F"/>
    <w:rsid w:val="00865950"/>
    <w:rsid w:val="00865D59"/>
    <w:rsid w:val="00867AD5"/>
    <w:rsid w:val="008725B6"/>
    <w:rsid w:val="00873706"/>
    <w:rsid w:val="0087459C"/>
    <w:rsid w:val="0087485A"/>
    <w:rsid w:val="008763D7"/>
    <w:rsid w:val="0088004E"/>
    <w:rsid w:val="00881BCD"/>
    <w:rsid w:val="00882B3A"/>
    <w:rsid w:val="00883CBC"/>
    <w:rsid w:val="00887A94"/>
    <w:rsid w:val="00890A2C"/>
    <w:rsid w:val="00892AB0"/>
    <w:rsid w:val="00896123"/>
    <w:rsid w:val="008A12FB"/>
    <w:rsid w:val="008A2771"/>
    <w:rsid w:val="008A379E"/>
    <w:rsid w:val="008A42FE"/>
    <w:rsid w:val="008A4E39"/>
    <w:rsid w:val="008A58D9"/>
    <w:rsid w:val="008A72A4"/>
    <w:rsid w:val="008A769D"/>
    <w:rsid w:val="008B143A"/>
    <w:rsid w:val="008B2292"/>
    <w:rsid w:val="008B385C"/>
    <w:rsid w:val="008B637B"/>
    <w:rsid w:val="008B69BF"/>
    <w:rsid w:val="008B6C09"/>
    <w:rsid w:val="008B6C94"/>
    <w:rsid w:val="008C25BC"/>
    <w:rsid w:val="008C3228"/>
    <w:rsid w:val="008C33A8"/>
    <w:rsid w:val="008C4D05"/>
    <w:rsid w:val="008C778D"/>
    <w:rsid w:val="008C7E76"/>
    <w:rsid w:val="008D0EEE"/>
    <w:rsid w:val="008D232A"/>
    <w:rsid w:val="008D335E"/>
    <w:rsid w:val="008D4472"/>
    <w:rsid w:val="008D4A03"/>
    <w:rsid w:val="008D74A9"/>
    <w:rsid w:val="008D7564"/>
    <w:rsid w:val="008D7BDD"/>
    <w:rsid w:val="008E0414"/>
    <w:rsid w:val="008E0876"/>
    <w:rsid w:val="008E09EB"/>
    <w:rsid w:val="008E0A00"/>
    <w:rsid w:val="008E1339"/>
    <w:rsid w:val="008E15DB"/>
    <w:rsid w:val="008E318B"/>
    <w:rsid w:val="008E3964"/>
    <w:rsid w:val="008E4FBA"/>
    <w:rsid w:val="008E5867"/>
    <w:rsid w:val="008E5F35"/>
    <w:rsid w:val="008E5FC8"/>
    <w:rsid w:val="008F00F7"/>
    <w:rsid w:val="008F07EF"/>
    <w:rsid w:val="008F0969"/>
    <w:rsid w:val="008F3069"/>
    <w:rsid w:val="008F48D5"/>
    <w:rsid w:val="008F5B64"/>
    <w:rsid w:val="008F777A"/>
    <w:rsid w:val="00901923"/>
    <w:rsid w:val="009029FA"/>
    <w:rsid w:val="009031D9"/>
    <w:rsid w:val="00903A49"/>
    <w:rsid w:val="00903D79"/>
    <w:rsid w:val="00907F92"/>
    <w:rsid w:val="00912165"/>
    <w:rsid w:val="009178BC"/>
    <w:rsid w:val="009202DD"/>
    <w:rsid w:val="00920EA9"/>
    <w:rsid w:val="0092310E"/>
    <w:rsid w:val="00923E72"/>
    <w:rsid w:val="00924507"/>
    <w:rsid w:val="00924D8A"/>
    <w:rsid w:val="00926647"/>
    <w:rsid w:val="00926BF7"/>
    <w:rsid w:val="0092731F"/>
    <w:rsid w:val="00927DCE"/>
    <w:rsid w:val="009324DB"/>
    <w:rsid w:val="00932868"/>
    <w:rsid w:val="009328A8"/>
    <w:rsid w:val="009331F2"/>
    <w:rsid w:val="0093335E"/>
    <w:rsid w:val="00933B66"/>
    <w:rsid w:val="00933D1B"/>
    <w:rsid w:val="00933E7F"/>
    <w:rsid w:val="009354B1"/>
    <w:rsid w:val="00935718"/>
    <w:rsid w:val="00935A20"/>
    <w:rsid w:val="009374EA"/>
    <w:rsid w:val="009401F0"/>
    <w:rsid w:val="00940C4D"/>
    <w:rsid w:val="00941E12"/>
    <w:rsid w:val="00943107"/>
    <w:rsid w:val="00945A1E"/>
    <w:rsid w:val="0094643F"/>
    <w:rsid w:val="009473D0"/>
    <w:rsid w:val="00950B9E"/>
    <w:rsid w:val="00953CC0"/>
    <w:rsid w:val="009552E0"/>
    <w:rsid w:val="0095650D"/>
    <w:rsid w:val="009576B4"/>
    <w:rsid w:val="00960CEB"/>
    <w:rsid w:val="00960D5C"/>
    <w:rsid w:val="00960FF7"/>
    <w:rsid w:val="009619EA"/>
    <w:rsid w:val="00962D02"/>
    <w:rsid w:val="00963087"/>
    <w:rsid w:val="00966D31"/>
    <w:rsid w:val="009700B8"/>
    <w:rsid w:val="009701D2"/>
    <w:rsid w:val="0097104C"/>
    <w:rsid w:val="009743DE"/>
    <w:rsid w:val="009764F3"/>
    <w:rsid w:val="009779C3"/>
    <w:rsid w:val="00981B72"/>
    <w:rsid w:val="00981D71"/>
    <w:rsid w:val="00983628"/>
    <w:rsid w:val="00986B8F"/>
    <w:rsid w:val="009872EC"/>
    <w:rsid w:val="00990159"/>
    <w:rsid w:val="00995A6B"/>
    <w:rsid w:val="009A1C65"/>
    <w:rsid w:val="009A2E29"/>
    <w:rsid w:val="009A32FD"/>
    <w:rsid w:val="009A40C2"/>
    <w:rsid w:val="009A5750"/>
    <w:rsid w:val="009A69AC"/>
    <w:rsid w:val="009A7679"/>
    <w:rsid w:val="009A7BD8"/>
    <w:rsid w:val="009B0290"/>
    <w:rsid w:val="009B0463"/>
    <w:rsid w:val="009B1A09"/>
    <w:rsid w:val="009B43DA"/>
    <w:rsid w:val="009B57E8"/>
    <w:rsid w:val="009B6399"/>
    <w:rsid w:val="009B6D84"/>
    <w:rsid w:val="009B775E"/>
    <w:rsid w:val="009B7DC8"/>
    <w:rsid w:val="009C0412"/>
    <w:rsid w:val="009C0601"/>
    <w:rsid w:val="009C335E"/>
    <w:rsid w:val="009C4568"/>
    <w:rsid w:val="009C66A9"/>
    <w:rsid w:val="009C7328"/>
    <w:rsid w:val="009D00C0"/>
    <w:rsid w:val="009D2EC4"/>
    <w:rsid w:val="009D3168"/>
    <w:rsid w:val="009D545F"/>
    <w:rsid w:val="009E0E1E"/>
    <w:rsid w:val="009E0FAD"/>
    <w:rsid w:val="009E2E96"/>
    <w:rsid w:val="009E705F"/>
    <w:rsid w:val="009E79C0"/>
    <w:rsid w:val="009F1045"/>
    <w:rsid w:val="009F3B70"/>
    <w:rsid w:val="009F3BF7"/>
    <w:rsid w:val="009F5896"/>
    <w:rsid w:val="009F6F60"/>
    <w:rsid w:val="009F7FC4"/>
    <w:rsid w:val="00A01D49"/>
    <w:rsid w:val="00A03B11"/>
    <w:rsid w:val="00A052FC"/>
    <w:rsid w:val="00A062D5"/>
    <w:rsid w:val="00A10357"/>
    <w:rsid w:val="00A116FD"/>
    <w:rsid w:val="00A11E4A"/>
    <w:rsid w:val="00A1255F"/>
    <w:rsid w:val="00A12963"/>
    <w:rsid w:val="00A13799"/>
    <w:rsid w:val="00A141E4"/>
    <w:rsid w:val="00A14632"/>
    <w:rsid w:val="00A14F95"/>
    <w:rsid w:val="00A15A16"/>
    <w:rsid w:val="00A16B6B"/>
    <w:rsid w:val="00A176AC"/>
    <w:rsid w:val="00A201E5"/>
    <w:rsid w:val="00A209C1"/>
    <w:rsid w:val="00A237DB"/>
    <w:rsid w:val="00A24AA7"/>
    <w:rsid w:val="00A25A04"/>
    <w:rsid w:val="00A26A6D"/>
    <w:rsid w:val="00A27BD4"/>
    <w:rsid w:val="00A35543"/>
    <w:rsid w:val="00A363A0"/>
    <w:rsid w:val="00A406E0"/>
    <w:rsid w:val="00A412A7"/>
    <w:rsid w:val="00A4184D"/>
    <w:rsid w:val="00A44A87"/>
    <w:rsid w:val="00A44DBD"/>
    <w:rsid w:val="00A4544B"/>
    <w:rsid w:val="00A45907"/>
    <w:rsid w:val="00A45D06"/>
    <w:rsid w:val="00A46414"/>
    <w:rsid w:val="00A4643D"/>
    <w:rsid w:val="00A466FD"/>
    <w:rsid w:val="00A47B63"/>
    <w:rsid w:val="00A535B7"/>
    <w:rsid w:val="00A5424B"/>
    <w:rsid w:val="00A571B1"/>
    <w:rsid w:val="00A5722D"/>
    <w:rsid w:val="00A57A34"/>
    <w:rsid w:val="00A57CAE"/>
    <w:rsid w:val="00A62F87"/>
    <w:rsid w:val="00A65C22"/>
    <w:rsid w:val="00A6622F"/>
    <w:rsid w:val="00A670E8"/>
    <w:rsid w:val="00A70869"/>
    <w:rsid w:val="00A71FD0"/>
    <w:rsid w:val="00A72B56"/>
    <w:rsid w:val="00A758ED"/>
    <w:rsid w:val="00A77602"/>
    <w:rsid w:val="00A82227"/>
    <w:rsid w:val="00A82410"/>
    <w:rsid w:val="00A834F8"/>
    <w:rsid w:val="00A84875"/>
    <w:rsid w:val="00A8545C"/>
    <w:rsid w:val="00A86C90"/>
    <w:rsid w:val="00A87534"/>
    <w:rsid w:val="00A906D7"/>
    <w:rsid w:val="00A917F3"/>
    <w:rsid w:val="00A94985"/>
    <w:rsid w:val="00A95907"/>
    <w:rsid w:val="00A96CF2"/>
    <w:rsid w:val="00AA0160"/>
    <w:rsid w:val="00AA0A32"/>
    <w:rsid w:val="00AA1868"/>
    <w:rsid w:val="00AA378A"/>
    <w:rsid w:val="00AA3C24"/>
    <w:rsid w:val="00AA42E6"/>
    <w:rsid w:val="00AA4693"/>
    <w:rsid w:val="00AA73C3"/>
    <w:rsid w:val="00AB0BFF"/>
    <w:rsid w:val="00AB350B"/>
    <w:rsid w:val="00AB4968"/>
    <w:rsid w:val="00AB4D17"/>
    <w:rsid w:val="00AC0707"/>
    <w:rsid w:val="00AC0AFB"/>
    <w:rsid w:val="00AC1295"/>
    <w:rsid w:val="00AC2A31"/>
    <w:rsid w:val="00AC30C8"/>
    <w:rsid w:val="00AC3259"/>
    <w:rsid w:val="00AC4397"/>
    <w:rsid w:val="00AC699F"/>
    <w:rsid w:val="00AC6AC3"/>
    <w:rsid w:val="00AC7760"/>
    <w:rsid w:val="00AC7DC5"/>
    <w:rsid w:val="00AD0DD5"/>
    <w:rsid w:val="00AD35E5"/>
    <w:rsid w:val="00AD439E"/>
    <w:rsid w:val="00AD5774"/>
    <w:rsid w:val="00AD7317"/>
    <w:rsid w:val="00AE2730"/>
    <w:rsid w:val="00AE27BB"/>
    <w:rsid w:val="00AE28E3"/>
    <w:rsid w:val="00AE2BD3"/>
    <w:rsid w:val="00AE3B94"/>
    <w:rsid w:val="00AE5EA0"/>
    <w:rsid w:val="00AE60D6"/>
    <w:rsid w:val="00AE77F8"/>
    <w:rsid w:val="00AF084F"/>
    <w:rsid w:val="00AF09DE"/>
    <w:rsid w:val="00AF4BF0"/>
    <w:rsid w:val="00AF73A9"/>
    <w:rsid w:val="00B00541"/>
    <w:rsid w:val="00B016DD"/>
    <w:rsid w:val="00B037DC"/>
    <w:rsid w:val="00B058D3"/>
    <w:rsid w:val="00B05ED8"/>
    <w:rsid w:val="00B0606D"/>
    <w:rsid w:val="00B11F72"/>
    <w:rsid w:val="00B13D74"/>
    <w:rsid w:val="00B14894"/>
    <w:rsid w:val="00B15F9D"/>
    <w:rsid w:val="00B1770E"/>
    <w:rsid w:val="00B22E07"/>
    <w:rsid w:val="00B25416"/>
    <w:rsid w:val="00B273E8"/>
    <w:rsid w:val="00B307EE"/>
    <w:rsid w:val="00B325A4"/>
    <w:rsid w:val="00B33B79"/>
    <w:rsid w:val="00B341CA"/>
    <w:rsid w:val="00B34602"/>
    <w:rsid w:val="00B349DC"/>
    <w:rsid w:val="00B37A18"/>
    <w:rsid w:val="00B43A8F"/>
    <w:rsid w:val="00B4573E"/>
    <w:rsid w:val="00B4695E"/>
    <w:rsid w:val="00B5079F"/>
    <w:rsid w:val="00B53E83"/>
    <w:rsid w:val="00B53FC1"/>
    <w:rsid w:val="00B546F6"/>
    <w:rsid w:val="00B55D89"/>
    <w:rsid w:val="00B5762E"/>
    <w:rsid w:val="00B57D8F"/>
    <w:rsid w:val="00B60057"/>
    <w:rsid w:val="00B618F8"/>
    <w:rsid w:val="00B61A14"/>
    <w:rsid w:val="00B624F0"/>
    <w:rsid w:val="00B6337B"/>
    <w:rsid w:val="00B63583"/>
    <w:rsid w:val="00B64215"/>
    <w:rsid w:val="00B64347"/>
    <w:rsid w:val="00B64F3F"/>
    <w:rsid w:val="00B64FAE"/>
    <w:rsid w:val="00B657ED"/>
    <w:rsid w:val="00B66FD5"/>
    <w:rsid w:val="00B70A89"/>
    <w:rsid w:val="00B70B3E"/>
    <w:rsid w:val="00B70C1A"/>
    <w:rsid w:val="00B70F2A"/>
    <w:rsid w:val="00B71493"/>
    <w:rsid w:val="00B71499"/>
    <w:rsid w:val="00B72AB4"/>
    <w:rsid w:val="00B74550"/>
    <w:rsid w:val="00B74A20"/>
    <w:rsid w:val="00B7549B"/>
    <w:rsid w:val="00B76DE1"/>
    <w:rsid w:val="00B8058E"/>
    <w:rsid w:val="00B82FA7"/>
    <w:rsid w:val="00B84389"/>
    <w:rsid w:val="00B84C4A"/>
    <w:rsid w:val="00B85543"/>
    <w:rsid w:val="00B90D08"/>
    <w:rsid w:val="00B92CE9"/>
    <w:rsid w:val="00B9366A"/>
    <w:rsid w:val="00B93F1C"/>
    <w:rsid w:val="00B93FC6"/>
    <w:rsid w:val="00B944E7"/>
    <w:rsid w:val="00B96573"/>
    <w:rsid w:val="00B96659"/>
    <w:rsid w:val="00B970C1"/>
    <w:rsid w:val="00B974F6"/>
    <w:rsid w:val="00BA0003"/>
    <w:rsid w:val="00BA211C"/>
    <w:rsid w:val="00BA3044"/>
    <w:rsid w:val="00BA3323"/>
    <w:rsid w:val="00BA4A41"/>
    <w:rsid w:val="00BA5D5A"/>
    <w:rsid w:val="00BB2739"/>
    <w:rsid w:val="00BB3041"/>
    <w:rsid w:val="00BB3B15"/>
    <w:rsid w:val="00BB400C"/>
    <w:rsid w:val="00BB4154"/>
    <w:rsid w:val="00BB561B"/>
    <w:rsid w:val="00BB5880"/>
    <w:rsid w:val="00BB5F8E"/>
    <w:rsid w:val="00BB62E9"/>
    <w:rsid w:val="00BB6BDA"/>
    <w:rsid w:val="00BB7087"/>
    <w:rsid w:val="00BC0A1C"/>
    <w:rsid w:val="00BC2C6A"/>
    <w:rsid w:val="00BC3E84"/>
    <w:rsid w:val="00BC634A"/>
    <w:rsid w:val="00BC63C9"/>
    <w:rsid w:val="00BC7AB2"/>
    <w:rsid w:val="00BD0A3B"/>
    <w:rsid w:val="00BD1669"/>
    <w:rsid w:val="00BD3DDC"/>
    <w:rsid w:val="00BD41F1"/>
    <w:rsid w:val="00BD4551"/>
    <w:rsid w:val="00BD68CF"/>
    <w:rsid w:val="00BD6C37"/>
    <w:rsid w:val="00BD74F5"/>
    <w:rsid w:val="00BD770B"/>
    <w:rsid w:val="00BD77B7"/>
    <w:rsid w:val="00BD7A41"/>
    <w:rsid w:val="00BE08FC"/>
    <w:rsid w:val="00BE3AD4"/>
    <w:rsid w:val="00BF0941"/>
    <w:rsid w:val="00BF151B"/>
    <w:rsid w:val="00BF1CD9"/>
    <w:rsid w:val="00BF55A3"/>
    <w:rsid w:val="00BF684C"/>
    <w:rsid w:val="00C02A95"/>
    <w:rsid w:val="00C03CD0"/>
    <w:rsid w:val="00C03E50"/>
    <w:rsid w:val="00C04D07"/>
    <w:rsid w:val="00C0532E"/>
    <w:rsid w:val="00C07614"/>
    <w:rsid w:val="00C07790"/>
    <w:rsid w:val="00C1168C"/>
    <w:rsid w:val="00C12259"/>
    <w:rsid w:val="00C13976"/>
    <w:rsid w:val="00C13F6D"/>
    <w:rsid w:val="00C1502D"/>
    <w:rsid w:val="00C205A8"/>
    <w:rsid w:val="00C20CDD"/>
    <w:rsid w:val="00C2170D"/>
    <w:rsid w:val="00C25A01"/>
    <w:rsid w:val="00C26A5E"/>
    <w:rsid w:val="00C27A03"/>
    <w:rsid w:val="00C30600"/>
    <w:rsid w:val="00C31B2E"/>
    <w:rsid w:val="00C3555D"/>
    <w:rsid w:val="00C36C92"/>
    <w:rsid w:val="00C36E0E"/>
    <w:rsid w:val="00C37B68"/>
    <w:rsid w:val="00C40913"/>
    <w:rsid w:val="00C40E12"/>
    <w:rsid w:val="00C40E7E"/>
    <w:rsid w:val="00C4299D"/>
    <w:rsid w:val="00C44F93"/>
    <w:rsid w:val="00C46308"/>
    <w:rsid w:val="00C46744"/>
    <w:rsid w:val="00C4680F"/>
    <w:rsid w:val="00C475E0"/>
    <w:rsid w:val="00C47F03"/>
    <w:rsid w:val="00C47FFD"/>
    <w:rsid w:val="00C51BA9"/>
    <w:rsid w:val="00C56DE6"/>
    <w:rsid w:val="00C577B7"/>
    <w:rsid w:val="00C60712"/>
    <w:rsid w:val="00C63E3E"/>
    <w:rsid w:val="00C64A13"/>
    <w:rsid w:val="00C6774A"/>
    <w:rsid w:val="00C67A94"/>
    <w:rsid w:val="00C70422"/>
    <w:rsid w:val="00C7078C"/>
    <w:rsid w:val="00C71219"/>
    <w:rsid w:val="00C71A19"/>
    <w:rsid w:val="00C71A8C"/>
    <w:rsid w:val="00C76A76"/>
    <w:rsid w:val="00C778C0"/>
    <w:rsid w:val="00C77AB5"/>
    <w:rsid w:val="00C77ABE"/>
    <w:rsid w:val="00C8067E"/>
    <w:rsid w:val="00C813D8"/>
    <w:rsid w:val="00C82510"/>
    <w:rsid w:val="00C83FB4"/>
    <w:rsid w:val="00C852BA"/>
    <w:rsid w:val="00C853DC"/>
    <w:rsid w:val="00C86445"/>
    <w:rsid w:val="00C86E30"/>
    <w:rsid w:val="00C87914"/>
    <w:rsid w:val="00C9110B"/>
    <w:rsid w:val="00C91D15"/>
    <w:rsid w:val="00C927EA"/>
    <w:rsid w:val="00C92F3D"/>
    <w:rsid w:val="00C9416A"/>
    <w:rsid w:val="00C94434"/>
    <w:rsid w:val="00C95079"/>
    <w:rsid w:val="00C9553E"/>
    <w:rsid w:val="00C96E55"/>
    <w:rsid w:val="00C97660"/>
    <w:rsid w:val="00C979D2"/>
    <w:rsid w:val="00C97F2D"/>
    <w:rsid w:val="00CA0BD9"/>
    <w:rsid w:val="00CA1216"/>
    <w:rsid w:val="00CA1A83"/>
    <w:rsid w:val="00CA31DF"/>
    <w:rsid w:val="00CA3C4E"/>
    <w:rsid w:val="00CA47F2"/>
    <w:rsid w:val="00CA4E85"/>
    <w:rsid w:val="00CA5146"/>
    <w:rsid w:val="00CA52B0"/>
    <w:rsid w:val="00CA54AD"/>
    <w:rsid w:val="00CA570E"/>
    <w:rsid w:val="00CA777F"/>
    <w:rsid w:val="00CB0165"/>
    <w:rsid w:val="00CB0F81"/>
    <w:rsid w:val="00CB14D5"/>
    <w:rsid w:val="00CB4D8F"/>
    <w:rsid w:val="00CB5A22"/>
    <w:rsid w:val="00CB5FC3"/>
    <w:rsid w:val="00CB62A2"/>
    <w:rsid w:val="00CC268A"/>
    <w:rsid w:val="00CC318C"/>
    <w:rsid w:val="00CC521D"/>
    <w:rsid w:val="00CC53D0"/>
    <w:rsid w:val="00CC75A4"/>
    <w:rsid w:val="00CD0078"/>
    <w:rsid w:val="00CD1D73"/>
    <w:rsid w:val="00CD3DD4"/>
    <w:rsid w:val="00CD44D4"/>
    <w:rsid w:val="00CD47FC"/>
    <w:rsid w:val="00CD564A"/>
    <w:rsid w:val="00CD6BE7"/>
    <w:rsid w:val="00CE0646"/>
    <w:rsid w:val="00CE2918"/>
    <w:rsid w:val="00CE2AEC"/>
    <w:rsid w:val="00CE4790"/>
    <w:rsid w:val="00CE5AC9"/>
    <w:rsid w:val="00CE6D43"/>
    <w:rsid w:val="00CF1567"/>
    <w:rsid w:val="00CF17B0"/>
    <w:rsid w:val="00CF3516"/>
    <w:rsid w:val="00CF3B9D"/>
    <w:rsid w:val="00CF3DD7"/>
    <w:rsid w:val="00CF447D"/>
    <w:rsid w:val="00CF6A59"/>
    <w:rsid w:val="00CF6EE0"/>
    <w:rsid w:val="00CF7A81"/>
    <w:rsid w:val="00D008D8"/>
    <w:rsid w:val="00D00CF2"/>
    <w:rsid w:val="00D011F3"/>
    <w:rsid w:val="00D01BA3"/>
    <w:rsid w:val="00D030C9"/>
    <w:rsid w:val="00D057E7"/>
    <w:rsid w:val="00D05962"/>
    <w:rsid w:val="00D0606B"/>
    <w:rsid w:val="00D0705F"/>
    <w:rsid w:val="00D076B3"/>
    <w:rsid w:val="00D07E1D"/>
    <w:rsid w:val="00D11B0B"/>
    <w:rsid w:val="00D14EC8"/>
    <w:rsid w:val="00D20217"/>
    <w:rsid w:val="00D20435"/>
    <w:rsid w:val="00D21976"/>
    <w:rsid w:val="00D2214C"/>
    <w:rsid w:val="00D2392B"/>
    <w:rsid w:val="00D2432E"/>
    <w:rsid w:val="00D32BBE"/>
    <w:rsid w:val="00D33527"/>
    <w:rsid w:val="00D33C71"/>
    <w:rsid w:val="00D34C3B"/>
    <w:rsid w:val="00D36BFC"/>
    <w:rsid w:val="00D37D98"/>
    <w:rsid w:val="00D409DE"/>
    <w:rsid w:val="00D40DEC"/>
    <w:rsid w:val="00D4299C"/>
    <w:rsid w:val="00D42CE3"/>
    <w:rsid w:val="00D4349A"/>
    <w:rsid w:val="00D43EBF"/>
    <w:rsid w:val="00D443B0"/>
    <w:rsid w:val="00D45BA5"/>
    <w:rsid w:val="00D46528"/>
    <w:rsid w:val="00D46FC6"/>
    <w:rsid w:val="00D5037B"/>
    <w:rsid w:val="00D50507"/>
    <w:rsid w:val="00D54856"/>
    <w:rsid w:val="00D558B9"/>
    <w:rsid w:val="00D57EF7"/>
    <w:rsid w:val="00D60BF3"/>
    <w:rsid w:val="00D62C53"/>
    <w:rsid w:val="00D63B5C"/>
    <w:rsid w:val="00D63CC1"/>
    <w:rsid w:val="00D64C0C"/>
    <w:rsid w:val="00D66087"/>
    <w:rsid w:val="00D66505"/>
    <w:rsid w:val="00D706CC"/>
    <w:rsid w:val="00D70A4F"/>
    <w:rsid w:val="00D716D8"/>
    <w:rsid w:val="00D72604"/>
    <w:rsid w:val="00D730F4"/>
    <w:rsid w:val="00D73242"/>
    <w:rsid w:val="00D73FDB"/>
    <w:rsid w:val="00D7480F"/>
    <w:rsid w:val="00D74C5E"/>
    <w:rsid w:val="00D75BF6"/>
    <w:rsid w:val="00D76CA5"/>
    <w:rsid w:val="00D774C1"/>
    <w:rsid w:val="00D77716"/>
    <w:rsid w:val="00D8042E"/>
    <w:rsid w:val="00D80EE5"/>
    <w:rsid w:val="00D81285"/>
    <w:rsid w:val="00D833F1"/>
    <w:rsid w:val="00D86F78"/>
    <w:rsid w:val="00D91457"/>
    <w:rsid w:val="00D91AC2"/>
    <w:rsid w:val="00D935F6"/>
    <w:rsid w:val="00D950C3"/>
    <w:rsid w:val="00D9552F"/>
    <w:rsid w:val="00D95969"/>
    <w:rsid w:val="00D970F2"/>
    <w:rsid w:val="00D97F94"/>
    <w:rsid w:val="00DA25A9"/>
    <w:rsid w:val="00DA42EA"/>
    <w:rsid w:val="00DB1641"/>
    <w:rsid w:val="00DB2C3C"/>
    <w:rsid w:val="00DB4062"/>
    <w:rsid w:val="00DB561C"/>
    <w:rsid w:val="00DB6F5D"/>
    <w:rsid w:val="00DC0FBA"/>
    <w:rsid w:val="00DC101C"/>
    <w:rsid w:val="00DC124E"/>
    <w:rsid w:val="00DC255C"/>
    <w:rsid w:val="00DC2C8F"/>
    <w:rsid w:val="00DC3278"/>
    <w:rsid w:val="00DC353B"/>
    <w:rsid w:val="00DC4681"/>
    <w:rsid w:val="00DC4A95"/>
    <w:rsid w:val="00DC525D"/>
    <w:rsid w:val="00DC52F3"/>
    <w:rsid w:val="00DC5F82"/>
    <w:rsid w:val="00DC7C5A"/>
    <w:rsid w:val="00DD0400"/>
    <w:rsid w:val="00DD0CE0"/>
    <w:rsid w:val="00DD1B44"/>
    <w:rsid w:val="00DD1CA5"/>
    <w:rsid w:val="00DD1D3E"/>
    <w:rsid w:val="00DD350E"/>
    <w:rsid w:val="00DD3867"/>
    <w:rsid w:val="00DD5200"/>
    <w:rsid w:val="00DD65A6"/>
    <w:rsid w:val="00DD6C9B"/>
    <w:rsid w:val="00DE0C9F"/>
    <w:rsid w:val="00DE1360"/>
    <w:rsid w:val="00DE1765"/>
    <w:rsid w:val="00DE1D2C"/>
    <w:rsid w:val="00DE2F1E"/>
    <w:rsid w:val="00DE3571"/>
    <w:rsid w:val="00DE3DBA"/>
    <w:rsid w:val="00DE49EA"/>
    <w:rsid w:val="00DE4C10"/>
    <w:rsid w:val="00DE594C"/>
    <w:rsid w:val="00DE7E57"/>
    <w:rsid w:val="00DF21BE"/>
    <w:rsid w:val="00DF2F3A"/>
    <w:rsid w:val="00DF2F96"/>
    <w:rsid w:val="00DF3296"/>
    <w:rsid w:val="00DF6AA1"/>
    <w:rsid w:val="00DF7A6E"/>
    <w:rsid w:val="00DF7BCC"/>
    <w:rsid w:val="00E00BCA"/>
    <w:rsid w:val="00E011E8"/>
    <w:rsid w:val="00E01FB5"/>
    <w:rsid w:val="00E0305A"/>
    <w:rsid w:val="00E04227"/>
    <w:rsid w:val="00E04243"/>
    <w:rsid w:val="00E044C8"/>
    <w:rsid w:val="00E049F1"/>
    <w:rsid w:val="00E04DA1"/>
    <w:rsid w:val="00E0577E"/>
    <w:rsid w:val="00E06C0F"/>
    <w:rsid w:val="00E06D5D"/>
    <w:rsid w:val="00E06EE8"/>
    <w:rsid w:val="00E1001F"/>
    <w:rsid w:val="00E10721"/>
    <w:rsid w:val="00E1266E"/>
    <w:rsid w:val="00E13DD8"/>
    <w:rsid w:val="00E14105"/>
    <w:rsid w:val="00E14C6D"/>
    <w:rsid w:val="00E15240"/>
    <w:rsid w:val="00E16FC1"/>
    <w:rsid w:val="00E208A2"/>
    <w:rsid w:val="00E2353D"/>
    <w:rsid w:val="00E245CF"/>
    <w:rsid w:val="00E2475F"/>
    <w:rsid w:val="00E25BE2"/>
    <w:rsid w:val="00E27042"/>
    <w:rsid w:val="00E30BEF"/>
    <w:rsid w:val="00E3266D"/>
    <w:rsid w:val="00E32EF6"/>
    <w:rsid w:val="00E3322A"/>
    <w:rsid w:val="00E34EA4"/>
    <w:rsid w:val="00E3561C"/>
    <w:rsid w:val="00E375C6"/>
    <w:rsid w:val="00E37E04"/>
    <w:rsid w:val="00E40B1F"/>
    <w:rsid w:val="00E43492"/>
    <w:rsid w:val="00E44088"/>
    <w:rsid w:val="00E444FC"/>
    <w:rsid w:val="00E463A6"/>
    <w:rsid w:val="00E47696"/>
    <w:rsid w:val="00E47A6C"/>
    <w:rsid w:val="00E47EED"/>
    <w:rsid w:val="00E50A36"/>
    <w:rsid w:val="00E51079"/>
    <w:rsid w:val="00E51450"/>
    <w:rsid w:val="00E53EEE"/>
    <w:rsid w:val="00E57A63"/>
    <w:rsid w:val="00E60174"/>
    <w:rsid w:val="00E60896"/>
    <w:rsid w:val="00E612D3"/>
    <w:rsid w:val="00E61498"/>
    <w:rsid w:val="00E61E6B"/>
    <w:rsid w:val="00E62F05"/>
    <w:rsid w:val="00E6316B"/>
    <w:rsid w:val="00E65269"/>
    <w:rsid w:val="00E657D6"/>
    <w:rsid w:val="00E66D89"/>
    <w:rsid w:val="00E67163"/>
    <w:rsid w:val="00E71571"/>
    <w:rsid w:val="00E72A53"/>
    <w:rsid w:val="00E73E93"/>
    <w:rsid w:val="00E74D1A"/>
    <w:rsid w:val="00E74EF7"/>
    <w:rsid w:val="00E75088"/>
    <w:rsid w:val="00E7713B"/>
    <w:rsid w:val="00E776F4"/>
    <w:rsid w:val="00E7770A"/>
    <w:rsid w:val="00E80179"/>
    <w:rsid w:val="00E83396"/>
    <w:rsid w:val="00E83C76"/>
    <w:rsid w:val="00E85365"/>
    <w:rsid w:val="00E85EE7"/>
    <w:rsid w:val="00E862A5"/>
    <w:rsid w:val="00E8637C"/>
    <w:rsid w:val="00E910AA"/>
    <w:rsid w:val="00E911DC"/>
    <w:rsid w:val="00E914BA"/>
    <w:rsid w:val="00E93674"/>
    <w:rsid w:val="00E93913"/>
    <w:rsid w:val="00E9458B"/>
    <w:rsid w:val="00E94877"/>
    <w:rsid w:val="00E95356"/>
    <w:rsid w:val="00E9639B"/>
    <w:rsid w:val="00E96AF9"/>
    <w:rsid w:val="00E97E10"/>
    <w:rsid w:val="00EA154E"/>
    <w:rsid w:val="00EA331B"/>
    <w:rsid w:val="00EA35D6"/>
    <w:rsid w:val="00EA4C5B"/>
    <w:rsid w:val="00EA4CA7"/>
    <w:rsid w:val="00EA5C74"/>
    <w:rsid w:val="00EA68A6"/>
    <w:rsid w:val="00EB1225"/>
    <w:rsid w:val="00EB218F"/>
    <w:rsid w:val="00EB2574"/>
    <w:rsid w:val="00EB2F0D"/>
    <w:rsid w:val="00EB3631"/>
    <w:rsid w:val="00EB3AF8"/>
    <w:rsid w:val="00EB3F01"/>
    <w:rsid w:val="00EB5E06"/>
    <w:rsid w:val="00EB5F49"/>
    <w:rsid w:val="00EB7241"/>
    <w:rsid w:val="00EB77F6"/>
    <w:rsid w:val="00EB7CBB"/>
    <w:rsid w:val="00EC2659"/>
    <w:rsid w:val="00EC48D9"/>
    <w:rsid w:val="00EC5029"/>
    <w:rsid w:val="00EC67D6"/>
    <w:rsid w:val="00ED0664"/>
    <w:rsid w:val="00ED17A7"/>
    <w:rsid w:val="00ED38F3"/>
    <w:rsid w:val="00ED44C9"/>
    <w:rsid w:val="00ED5564"/>
    <w:rsid w:val="00ED5BF5"/>
    <w:rsid w:val="00ED7283"/>
    <w:rsid w:val="00ED7FFB"/>
    <w:rsid w:val="00EE0E28"/>
    <w:rsid w:val="00EE16F8"/>
    <w:rsid w:val="00EE1F9F"/>
    <w:rsid w:val="00EE2634"/>
    <w:rsid w:val="00EE2CA5"/>
    <w:rsid w:val="00EE2FA9"/>
    <w:rsid w:val="00EE3125"/>
    <w:rsid w:val="00EE3913"/>
    <w:rsid w:val="00EE395E"/>
    <w:rsid w:val="00EE550D"/>
    <w:rsid w:val="00EE6266"/>
    <w:rsid w:val="00EE62DA"/>
    <w:rsid w:val="00EF1B87"/>
    <w:rsid w:val="00EF2F56"/>
    <w:rsid w:val="00EF5F42"/>
    <w:rsid w:val="00EF60FD"/>
    <w:rsid w:val="00EF64CD"/>
    <w:rsid w:val="00EF7E10"/>
    <w:rsid w:val="00F03037"/>
    <w:rsid w:val="00F04A60"/>
    <w:rsid w:val="00F0513C"/>
    <w:rsid w:val="00F10016"/>
    <w:rsid w:val="00F107F8"/>
    <w:rsid w:val="00F116FF"/>
    <w:rsid w:val="00F12CC0"/>
    <w:rsid w:val="00F13564"/>
    <w:rsid w:val="00F15D22"/>
    <w:rsid w:val="00F205F8"/>
    <w:rsid w:val="00F2090B"/>
    <w:rsid w:val="00F22686"/>
    <w:rsid w:val="00F23C23"/>
    <w:rsid w:val="00F23DE7"/>
    <w:rsid w:val="00F258D1"/>
    <w:rsid w:val="00F25F1F"/>
    <w:rsid w:val="00F31255"/>
    <w:rsid w:val="00F3299C"/>
    <w:rsid w:val="00F342D9"/>
    <w:rsid w:val="00F3568E"/>
    <w:rsid w:val="00F37326"/>
    <w:rsid w:val="00F4090C"/>
    <w:rsid w:val="00F40914"/>
    <w:rsid w:val="00F413DF"/>
    <w:rsid w:val="00F423E6"/>
    <w:rsid w:val="00F4388B"/>
    <w:rsid w:val="00F4449F"/>
    <w:rsid w:val="00F4497B"/>
    <w:rsid w:val="00F44CA1"/>
    <w:rsid w:val="00F452DA"/>
    <w:rsid w:val="00F458EC"/>
    <w:rsid w:val="00F47861"/>
    <w:rsid w:val="00F5030C"/>
    <w:rsid w:val="00F51329"/>
    <w:rsid w:val="00F52854"/>
    <w:rsid w:val="00F52C98"/>
    <w:rsid w:val="00F52F9A"/>
    <w:rsid w:val="00F53288"/>
    <w:rsid w:val="00F53E2A"/>
    <w:rsid w:val="00F53E77"/>
    <w:rsid w:val="00F5445A"/>
    <w:rsid w:val="00F600FC"/>
    <w:rsid w:val="00F62393"/>
    <w:rsid w:val="00F628AD"/>
    <w:rsid w:val="00F65605"/>
    <w:rsid w:val="00F67011"/>
    <w:rsid w:val="00F675EA"/>
    <w:rsid w:val="00F67881"/>
    <w:rsid w:val="00F7047D"/>
    <w:rsid w:val="00F715DE"/>
    <w:rsid w:val="00F7542D"/>
    <w:rsid w:val="00F762D2"/>
    <w:rsid w:val="00F77D81"/>
    <w:rsid w:val="00F82583"/>
    <w:rsid w:val="00F85371"/>
    <w:rsid w:val="00F85D97"/>
    <w:rsid w:val="00F9007F"/>
    <w:rsid w:val="00F90965"/>
    <w:rsid w:val="00F90B88"/>
    <w:rsid w:val="00F947C3"/>
    <w:rsid w:val="00F94E8C"/>
    <w:rsid w:val="00F95615"/>
    <w:rsid w:val="00F966AA"/>
    <w:rsid w:val="00FA034F"/>
    <w:rsid w:val="00FA0EA1"/>
    <w:rsid w:val="00FA438B"/>
    <w:rsid w:val="00FA4F7B"/>
    <w:rsid w:val="00FA53F6"/>
    <w:rsid w:val="00FA65CA"/>
    <w:rsid w:val="00FA6E46"/>
    <w:rsid w:val="00FB0B2E"/>
    <w:rsid w:val="00FB6286"/>
    <w:rsid w:val="00FC07CF"/>
    <w:rsid w:val="00FC2005"/>
    <w:rsid w:val="00FC35EE"/>
    <w:rsid w:val="00FC6189"/>
    <w:rsid w:val="00FC6BED"/>
    <w:rsid w:val="00FC6C93"/>
    <w:rsid w:val="00FD5838"/>
    <w:rsid w:val="00FD6390"/>
    <w:rsid w:val="00FD70C6"/>
    <w:rsid w:val="00FE0747"/>
    <w:rsid w:val="00FE25A1"/>
    <w:rsid w:val="00FE2EC1"/>
    <w:rsid w:val="00FE70E5"/>
    <w:rsid w:val="00FE762E"/>
    <w:rsid w:val="00FF38D3"/>
    <w:rsid w:val="00FF4D4C"/>
    <w:rsid w:val="00FF5282"/>
    <w:rsid w:val="0AF8EF20"/>
    <w:rsid w:val="0E27F0E7"/>
    <w:rsid w:val="16FBECEF"/>
    <w:rsid w:val="209C96C8"/>
    <w:rsid w:val="24981201"/>
    <w:rsid w:val="25ED13C9"/>
    <w:rsid w:val="26C04BB3"/>
    <w:rsid w:val="2CA7C510"/>
    <w:rsid w:val="31C84DF2"/>
    <w:rsid w:val="33B28C24"/>
    <w:rsid w:val="33F668F5"/>
    <w:rsid w:val="3766A6B7"/>
    <w:rsid w:val="3F806670"/>
    <w:rsid w:val="4002FC63"/>
    <w:rsid w:val="40C75461"/>
    <w:rsid w:val="4E9968A4"/>
    <w:rsid w:val="55FCBF84"/>
    <w:rsid w:val="64599C25"/>
    <w:rsid w:val="67804EE8"/>
    <w:rsid w:val="6B3824FD"/>
    <w:rsid w:val="74515DB9"/>
    <w:rsid w:val="74D02BAE"/>
    <w:rsid w:val="75D441E0"/>
    <w:rsid w:val="7881D3FE"/>
    <w:rsid w:val="7D25DC5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5:docId w15:val="{8FEBA92F-988A-4897-9C2A-289703F4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F56"/>
    <w:rPr>
      <w:rFonts w:ascii="Times New Roman" w:eastAsia="Times New Roman" w:hAnsi="Times New Roman" w:cs="Times New Roman"/>
    </w:rPr>
  </w:style>
  <w:style w:type="paragraph" w:styleId="Heading1">
    <w:name w:val="heading 1"/>
    <w:basedOn w:val="Normal"/>
    <w:next w:val="Normal"/>
    <w:link w:val="Heading1Char"/>
    <w:qFormat/>
    <w:rsid w:val="00E914BA"/>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E914BA"/>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914BA"/>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914B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914B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914B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14B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14B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14B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086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914B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E914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914B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914B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914B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914B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914B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914B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914BA"/>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E914BA"/>
    <w:pPr>
      <w:ind w:left="720"/>
      <w:contextualSpacing/>
    </w:pPr>
  </w:style>
  <w:style w:type="paragraph" w:customStyle="1" w:styleId="body-lead1">
    <w:name w:val="body-lead1"/>
    <w:basedOn w:val="Normal"/>
    <w:link w:val="body-lead1Char"/>
    <w:rsid w:val="00286765"/>
    <w:pPr>
      <w:spacing w:before="120" w:after="120"/>
    </w:pPr>
    <w:rPr>
      <w:rFonts w:ascii="Arial" w:hAnsi="Arial" w:cs="Arial"/>
      <w:b/>
      <w:bCs/>
      <w:i/>
      <w:iCs/>
      <w:color w:val="000080"/>
      <w:sz w:val="22"/>
      <w:szCs w:val="22"/>
    </w:rPr>
  </w:style>
  <w:style w:type="character" w:customStyle="1" w:styleId="body-lead1Char">
    <w:name w:val="body-lead1 Char"/>
    <w:basedOn w:val="DefaultParagraphFont"/>
    <w:link w:val="body-lead1"/>
    <w:rsid w:val="00286765"/>
    <w:rPr>
      <w:rFonts w:ascii="Arial" w:eastAsia="Times New Roman" w:hAnsi="Arial" w:cs="Arial"/>
      <w:b/>
      <w:bCs/>
      <w:i/>
      <w:iCs/>
      <w:color w:val="000080"/>
      <w:sz w:val="22"/>
      <w:szCs w:val="22"/>
    </w:rPr>
  </w:style>
  <w:style w:type="paragraph" w:customStyle="1" w:styleId="body-text">
    <w:name w:val="body-text"/>
    <w:basedOn w:val="Normal"/>
    <w:link w:val="body-textChar"/>
    <w:rsid w:val="00286765"/>
    <w:pPr>
      <w:spacing w:before="120" w:after="120"/>
    </w:pPr>
    <w:rPr>
      <w:rFonts w:ascii="Arial" w:hAnsi="Arial" w:cs="Arial"/>
      <w:sz w:val="20"/>
      <w:szCs w:val="20"/>
    </w:rPr>
  </w:style>
  <w:style w:type="character" w:customStyle="1" w:styleId="body-textChar">
    <w:name w:val="body-text Char"/>
    <w:basedOn w:val="DefaultParagraphFont"/>
    <w:link w:val="body-text"/>
    <w:rsid w:val="00286765"/>
    <w:rPr>
      <w:rFonts w:ascii="Arial" w:eastAsia="Times New Roman" w:hAnsi="Arial" w:cs="Arial"/>
      <w:sz w:val="20"/>
      <w:szCs w:val="20"/>
    </w:rPr>
  </w:style>
  <w:style w:type="paragraph" w:customStyle="1" w:styleId="List1">
    <w:name w:val="List1"/>
    <w:basedOn w:val="Normal"/>
    <w:link w:val="listChar"/>
    <w:rsid w:val="00286765"/>
    <w:pPr>
      <w:spacing w:before="120" w:after="120"/>
    </w:pPr>
    <w:rPr>
      <w:rFonts w:ascii="Arial" w:hAnsi="Arial" w:cs="Arial"/>
      <w:sz w:val="20"/>
      <w:szCs w:val="20"/>
    </w:rPr>
  </w:style>
  <w:style w:type="character" w:customStyle="1" w:styleId="listChar">
    <w:name w:val="list Char"/>
    <w:basedOn w:val="DefaultParagraphFont"/>
    <w:link w:val="List1"/>
    <w:rsid w:val="00286765"/>
    <w:rPr>
      <w:rFonts w:ascii="Arial" w:eastAsia="Times New Roman" w:hAnsi="Arial" w:cs="Arial"/>
      <w:sz w:val="20"/>
      <w:szCs w:val="20"/>
    </w:rPr>
  </w:style>
  <w:style w:type="paragraph" w:styleId="BalloonText">
    <w:name w:val="Balloon Text"/>
    <w:basedOn w:val="Normal"/>
    <w:link w:val="BalloonTextChar"/>
    <w:uiPriority w:val="99"/>
    <w:semiHidden/>
    <w:unhideWhenUsed/>
    <w:rsid w:val="002867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6765"/>
    <w:rPr>
      <w:rFonts w:ascii="Lucida Grande" w:hAnsi="Lucida Grande" w:cs="Lucida Grande"/>
      <w:sz w:val="18"/>
      <w:szCs w:val="18"/>
    </w:rPr>
  </w:style>
  <w:style w:type="character" w:styleId="CommentReference">
    <w:name w:val="annotation reference"/>
    <w:uiPriority w:val="99"/>
    <w:semiHidden/>
    <w:rsid w:val="00B90D08"/>
    <w:rPr>
      <w:sz w:val="16"/>
      <w:szCs w:val="16"/>
    </w:rPr>
  </w:style>
  <w:style w:type="paragraph" w:styleId="CommentText">
    <w:name w:val="annotation text"/>
    <w:basedOn w:val="Normal"/>
    <w:link w:val="CommentTextChar"/>
    <w:uiPriority w:val="99"/>
    <w:unhideWhenUsed/>
    <w:rsid w:val="00B90D08"/>
    <w:pPr>
      <w:spacing w:after="200"/>
    </w:pPr>
    <w:rPr>
      <w:sz w:val="20"/>
      <w:szCs w:val="20"/>
      <w:lang w:eastAsia="zh-CN"/>
    </w:rPr>
  </w:style>
  <w:style w:type="character" w:customStyle="1" w:styleId="CommentTextChar">
    <w:name w:val="Comment Text Char"/>
    <w:basedOn w:val="DefaultParagraphFont"/>
    <w:link w:val="CommentText"/>
    <w:uiPriority w:val="99"/>
    <w:rsid w:val="00B90D08"/>
    <w:rPr>
      <w:sz w:val="20"/>
      <w:szCs w:val="20"/>
      <w:lang w:eastAsia="zh-CN"/>
    </w:rPr>
  </w:style>
  <w:style w:type="paragraph" w:styleId="NormalWeb">
    <w:name w:val="Normal (Web)"/>
    <w:basedOn w:val="Normal"/>
    <w:uiPriority w:val="99"/>
    <w:semiHidden/>
    <w:unhideWhenUsed/>
    <w:rsid w:val="009F7FC4"/>
    <w:pPr>
      <w:spacing w:before="100" w:beforeAutospacing="1" w:after="100" w:afterAutospacing="1"/>
    </w:pPr>
    <w:rPr>
      <w:rFonts w:ascii="Times" w:hAnsi="Times"/>
      <w:sz w:val="20"/>
      <w:szCs w:val="20"/>
    </w:rPr>
  </w:style>
  <w:style w:type="paragraph" w:styleId="ListBullet">
    <w:name w:val="List Bullet"/>
    <w:basedOn w:val="Normal"/>
    <w:link w:val="ListBulletChar"/>
    <w:rsid w:val="009F7FC4"/>
    <w:pPr>
      <w:numPr>
        <w:numId w:val="2"/>
      </w:numPr>
      <w:spacing w:before="115"/>
    </w:pPr>
    <w:rPr>
      <w:sz w:val="22"/>
      <w:szCs w:val="22"/>
    </w:rPr>
  </w:style>
  <w:style w:type="character" w:customStyle="1" w:styleId="ListBulletChar">
    <w:name w:val="List Bullet Char"/>
    <w:basedOn w:val="DefaultParagraphFont"/>
    <w:link w:val="ListBullet"/>
    <w:rsid w:val="009F7FC4"/>
    <w:rPr>
      <w:rFonts w:ascii="Times New Roman" w:eastAsia="Times New Roman" w:hAnsi="Times New Roman" w:cs="Times New Roman"/>
      <w:sz w:val="22"/>
      <w:szCs w:val="22"/>
    </w:rPr>
  </w:style>
  <w:style w:type="paragraph" w:styleId="BodyText">
    <w:name w:val="Body Text"/>
    <w:basedOn w:val="Normal"/>
    <w:link w:val="BodyTextChar"/>
    <w:uiPriority w:val="99"/>
    <w:rsid w:val="0045642A"/>
    <w:rPr>
      <w:sz w:val="22"/>
    </w:rPr>
  </w:style>
  <w:style w:type="character" w:customStyle="1" w:styleId="BodyTextChar">
    <w:name w:val="Body Text Char"/>
    <w:basedOn w:val="DefaultParagraphFont"/>
    <w:link w:val="BodyText"/>
    <w:uiPriority w:val="1"/>
    <w:rsid w:val="0045642A"/>
    <w:rPr>
      <w:rFonts w:ascii="Times New Roman" w:eastAsia="Times New Roman" w:hAnsi="Times New Roman" w:cs="Times New Roman"/>
      <w:sz w:val="22"/>
    </w:rPr>
  </w:style>
  <w:style w:type="paragraph" w:customStyle="1" w:styleId="TableBullet">
    <w:name w:val="Table Bullet"/>
    <w:basedOn w:val="Normal"/>
    <w:link w:val="TableBulletChar"/>
    <w:rsid w:val="00734B86"/>
    <w:pPr>
      <w:numPr>
        <w:numId w:val="3"/>
      </w:numPr>
      <w:tabs>
        <w:tab w:val="left" w:pos="270"/>
      </w:tabs>
      <w:spacing w:before="60" w:after="60"/>
    </w:pPr>
    <w:rPr>
      <w:rFonts w:ascii="Arial" w:hAnsi="Arial"/>
      <w:sz w:val="20"/>
      <w:szCs w:val="20"/>
    </w:rPr>
  </w:style>
  <w:style w:type="paragraph" w:customStyle="1" w:styleId="TableBody">
    <w:name w:val="Table Body"/>
    <w:rsid w:val="00734B86"/>
    <w:pPr>
      <w:spacing w:before="100" w:after="100"/>
    </w:pPr>
    <w:rPr>
      <w:rFonts w:ascii="Arial" w:eastAsia="Times New Roman" w:hAnsi="Arial" w:cs="Times New Roman"/>
      <w:sz w:val="20"/>
      <w:szCs w:val="20"/>
    </w:rPr>
  </w:style>
  <w:style w:type="paragraph" w:customStyle="1" w:styleId="TableHeadingBlack">
    <w:name w:val="Table Heading Black"/>
    <w:rsid w:val="00734B86"/>
    <w:pPr>
      <w:spacing w:after="120"/>
    </w:pPr>
    <w:rPr>
      <w:rFonts w:ascii="Arial Bold" w:eastAsia="Times New Roman" w:hAnsi="Arial Bold" w:cs="Times New Roman"/>
      <w:b/>
      <w:sz w:val="20"/>
      <w:szCs w:val="20"/>
    </w:rPr>
  </w:style>
  <w:style w:type="paragraph" w:customStyle="1" w:styleId="TableBullet2">
    <w:name w:val="Table Bullet 2"/>
    <w:rsid w:val="00734B86"/>
    <w:pPr>
      <w:numPr>
        <w:ilvl w:val="1"/>
        <w:numId w:val="4"/>
      </w:numPr>
      <w:tabs>
        <w:tab w:val="left" w:pos="720"/>
        <w:tab w:val="clear" w:pos="1080"/>
      </w:tabs>
      <w:spacing w:before="10" w:after="10"/>
    </w:pPr>
    <w:rPr>
      <w:rFonts w:ascii="Arial" w:eastAsia="Times New Roman" w:hAnsi="Arial" w:cs="Times New Roman"/>
      <w:sz w:val="20"/>
      <w:szCs w:val="20"/>
    </w:rPr>
  </w:style>
  <w:style w:type="character" w:customStyle="1" w:styleId="TableBulletChar">
    <w:name w:val="Table Bullet Char"/>
    <w:basedOn w:val="DefaultParagraphFont"/>
    <w:link w:val="TableBullet"/>
    <w:rsid w:val="00734B86"/>
    <w:rPr>
      <w:rFonts w:ascii="Arial" w:eastAsia="Times New Roman" w:hAnsi="Arial" w:cs="Times New Roman"/>
      <w:sz w:val="20"/>
      <w:szCs w:val="20"/>
    </w:rPr>
  </w:style>
  <w:style w:type="paragraph" w:styleId="Header">
    <w:name w:val="header"/>
    <w:basedOn w:val="Normal"/>
    <w:link w:val="HeaderChar"/>
    <w:uiPriority w:val="99"/>
    <w:unhideWhenUsed/>
    <w:rsid w:val="00F95615"/>
    <w:pPr>
      <w:tabs>
        <w:tab w:val="center" w:pos="4680"/>
        <w:tab w:val="right" w:pos="9360"/>
      </w:tabs>
    </w:pPr>
  </w:style>
  <w:style w:type="character" w:customStyle="1" w:styleId="HeaderChar">
    <w:name w:val="Header Char"/>
    <w:basedOn w:val="DefaultParagraphFont"/>
    <w:link w:val="Header"/>
    <w:uiPriority w:val="99"/>
    <w:rsid w:val="00F95615"/>
  </w:style>
  <w:style w:type="paragraph" w:styleId="Footer">
    <w:name w:val="footer"/>
    <w:basedOn w:val="Normal"/>
    <w:link w:val="FooterChar"/>
    <w:uiPriority w:val="99"/>
    <w:unhideWhenUsed/>
    <w:rsid w:val="00F95615"/>
    <w:pPr>
      <w:tabs>
        <w:tab w:val="center" w:pos="4680"/>
        <w:tab w:val="right" w:pos="9360"/>
      </w:tabs>
    </w:pPr>
  </w:style>
  <w:style w:type="character" w:customStyle="1" w:styleId="FooterChar">
    <w:name w:val="Footer Char"/>
    <w:basedOn w:val="DefaultParagraphFont"/>
    <w:link w:val="Footer"/>
    <w:uiPriority w:val="99"/>
    <w:rsid w:val="00F95615"/>
  </w:style>
  <w:style w:type="paragraph" w:styleId="CommentSubject">
    <w:name w:val="annotation subject"/>
    <w:basedOn w:val="CommentText"/>
    <w:next w:val="CommentText"/>
    <w:link w:val="CommentSubjectChar"/>
    <w:uiPriority w:val="99"/>
    <w:semiHidden/>
    <w:unhideWhenUsed/>
    <w:rsid w:val="00646015"/>
    <w:pPr>
      <w:spacing w:after="0"/>
    </w:pPr>
    <w:rPr>
      <w:b/>
      <w:bCs/>
      <w:lang w:eastAsia="en-US"/>
    </w:rPr>
  </w:style>
  <w:style w:type="character" w:customStyle="1" w:styleId="CommentSubjectChar">
    <w:name w:val="Comment Subject Char"/>
    <w:basedOn w:val="CommentTextChar"/>
    <w:link w:val="CommentSubject"/>
    <w:uiPriority w:val="99"/>
    <w:semiHidden/>
    <w:rsid w:val="00646015"/>
    <w:rPr>
      <w:b/>
      <w:bCs/>
      <w:sz w:val="20"/>
      <w:szCs w:val="20"/>
      <w:lang w:eastAsia="zh-CN"/>
    </w:rPr>
  </w:style>
  <w:style w:type="paragraph" w:styleId="BodyTextIndent2">
    <w:name w:val="Body Text Indent 2"/>
    <w:basedOn w:val="Normal"/>
    <w:link w:val="BodyTextIndent2Char"/>
    <w:uiPriority w:val="99"/>
    <w:semiHidden/>
    <w:unhideWhenUsed/>
    <w:rsid w:val="00D2432E"/>
    <w:pPr>
      <w:spacing w:after="120" w:line="480" w:lineRule="auto"/>
      <w:ind w:left="360"/>
    </w:pPr>
  </w:style>
  <w:style w:type="character" w:customStyle="1" w:styleId="BodyTextIndent2Char">
    <w:name w:val="Body Text Indent 2 Char"/>
    <w:basedOn w:val="DefaultParagraphFont"/>
    <w:link w:val="BodyTextIndent2"/>
    <w:uiPriority w:val="99"/>
    <w:semiHidden/>
    <w:rsid w:val="00D2432E"/>
  </w:style>
  <w:style w:type="character" w:styleId="Hyperlink">
    <w:name w:val="Hyperlink"/>
    <w:uiPriority w:val="99"/>
    <w:rsid w:val="00E25BE2"/>
    <w:rPr>
      <w:color w:val="0000FF"/>
      <w:u w:val="single"/>
    </w:rPr>
  </w:style>
  <w:style w:type="paragraph" w:styleId="TOCHeading">
    <w:name w:val="TOC Heading"/>
    <w:basedOn w:val="Heading1"/>
    <w:next w:val="Normal"/>
    <w:uiPriority w:val="39"/>
    <w:unhideWhenUsed/>
    <w:qFormat/>
    <w:rsid w:val="00455ADA"/>
    <w:pPr>
      <w:numPr>
        <w:numId w:val="0"/>
      </w:num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B34602"/>
    <w:pPr>
      <w:tabs>
        <w:tab w:val="left" w:pos="450"/>
        <w:tab w:val="right" w:leader="dot" w:pos="10358"/>
      </w:tabs>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05274B"/>
    <w:pPr>
      <w:ind w:left="240"/>
    </w:pPr>
    <w:rPr>
      <w:rFonts w:asciiTheme="minorHAnsi" w:hAnsiTheme="minorHAnsi"/>
      <w:smallCaps/>
      <w:sz w:val="20"/>
      <w:szCs w:val="20"/>
    </w:rPr>
  </w:style>
  <w:style w:type="paragraph" w:styleId="TOC3">
    <w:name w:val="toc 3"/>
    <w:basedOn w:val="Normal"/>
    <w:next w:val="Normal"/>
    <w:autoRedefine/>
    <w:uiPriority w:val="39"/>
    <w:unhideWhenUsed/>
    <w:rsid w:val="00455ADA"/>
    <w:pPr>
      <w:ind w:left="480"/>
    </w:pPr>
    <w:rPr>
      <w:rFonts w:asciiTheme="minorHAnsi" w:hAnsiTheme="minorHAnsi"/>
      <w:i/>
      <w:iCs/>
      <w:sz w:val="20"/>
      <w:szCs w:val="20"/>
    </w:rPr>
  </w:style>
  <w:style w:type="paragraph" w:styleId="TOC4">
    <w:name w:val="toc 4"/>
    <w:basedOn w:val="Normal"/>
    <w:next w:val="Normal"/>
    <w:autoRedefine/>
    <w:uiPriority w:val="39"/>
    <w:unhideWhenUsed/>
    <w:rsid w:val="00455ADA"/>
    <w:pPr>
      <w:ind w:left="720"/>
    </w:pPr>
    <w:rPr>
      <w:rFonts w:asciiTheme="minorHAnsi" w:hAnsiTheme="minorHAnsi"/>
      <w:sz w:val="18"/>
      <w:szCs w:val="18"/>
    </w:rPr>
  </w:style>
  <w:style w:type="paragraph" w:styleId="TOC5">
    <w:name w:val="toc 5"/>
    <w:basedOn w:val="Normal"/>
    <w:next w:val="Normal"/>
    <w:autoRedefine/>
    <w:uiPriority w:val="39"/>
    <w:unhideWhenUsed/>
    <w:rsid w:val="00455ADA"/>
    <w:pPr>
      <w:ind w:left="960"/>
    </w:pPr>
    <w:rPr>
      <w:rFonts w:asciiTheme="minorHAnsi" w:hAnsiTheme="minorHAnsi"/>
      <w:sz w:val="18"/>
      <w:szCs w:val="18"/>
    </w:rPr>
  </w:style>
  <w:style w:type="paragraph" w:styleId="TOC6">
    <w:name w:val="toc 6"/>
    <w:basedOn w:val="Normal"/>
    <w:next w:val="Normal"/>
    <w:autoRedefine/>
    <w:uiPriority w:val="39"/>
    <w:unhideWhenUsed/>
    <w:rsid w:val="00455ADA"/>
    <w:pPr>
      <w:ind w:left="1200"/>
    </w:pPr>
    <w:rPr>
      <w:rFonts w:asciiTheme="minorHAnsi" w:hAnsiTheme="minorHAnsi"/>
      <w:sz w:val="18"/>
      <w:szCs w:val="18"/>
    </w:rPr>
  </w:style>
  <w:style w:type="paragraph" w:styleId="TOC7">
    <w:name w:val="toc 7"/>
    <w:basedOn w:val="Normal"/>
    <w:next w:val="Normal"/>
    <w:autoRedefine/>
    <w:uiPriority w:val="39"/>
    <w:unhideWhenUsed/>
    <w:rsid w:val="00455ADA"/>
    <w:pPr>
      <w:ind w:left="1440"/>
    </w:pPr>
    <w:rPr>
      <w:rFonts w:asciiTheme="minorHAnsi" w:hAnsiTheme="minorHAnsi"/>
      <w:sz w:val="18"/>
      <w:szCs w:val="18"/>
    </w:rPr>
  </w:style>
  <w:style w:type="paragraph" w:styleId="TOC8">
    <w:name w:val="toc 8"/>
    <w:basedOn w:val="Normal"/>
    <w:next w:val="Normal"/>
    <w:autoRedefine/>
    <w:uiPriority w:val="39"/>
    <w:unhideWhenUsed/>
    <w:rsid w:val="00455ADA"/>
    <w:pPr>
      <w:ind w:left="1680"/>
    </w:pPr>
    <w:rPr>
      <w:rFonts w:asciiTheme="minorHAnsi" w:hAnsiTheme="minorHAnsi"/>
      <w:sz w:val="18"/>
      <w:szCs w:val="18"/>
    </w:rPr>
  </w:style>
  <w:style w:type="paragraph" w:styleId="TOC9">
    <w:name w:val="toc 9"/>
    <w:basedOn w:val="Normal"/>
    <w:next w:val="Normal"/>
    <w:autoRedefine/>
    <w:uiPriority w:val="39"/>
    <w:unhideWhenUsed/>
    <w:rsid w:val="00455ADA"/>
    <w:pPr>
      <w:ind w:left="1920"/>
    </w:pPr>
    <w:rPr>
      <w:rFonts w:asciiTheme="minorHAnsi" w:hAnsiTheme="minorHAnsi"/>
      <w:sz w:val="18"/>
      <w:szCs w:val="18"/>
    </w:rPr>
  </w:style>
  <w:style w:type="paragraph" w:styleId="Revision">
    <w:name w:val="Revision"/>
    <w:hidden/>
    <w:uiPriority w:val="99"/>
    <w:semiHidden/>
    <w:rsid w:val="00524F72"/>
  </w:style>
  <w:style w:type="character" w:styleId="FollowedHyperlink">
    <w:name w:val="FollowedHyperlink"/>
    <w:basedOn w:val="DefaultParagraphFont"/>
    <w:uiPriority w:val="99"/>
    <w:semiHidden/>
    <w:unhideWhenUsed/>
    <w:rsid w:val="006C578A"/>
    <w:rPr>
      <w:color w:val="800080" w:themeColor="followedHyperlink"/>
      <w:u w:val="single"/>
    </w:rPr>
  </w:style>
  <w:style w:type="character" w:customStyle="1" w:styleId="UnresolvedMention">
    <w:name w:val="Unresolved Mention"/>
    <w:basedOn w:val="DefaultParagraphFont"/>
    <w:uiPriority w:val="99"/>
    <w:semiHidden/>
    <w:unhideWhenUsed/>
    <w:rsid w:val="00F53E2A"/>
    <w:rPr>
      <w:color w:val="605E5C"/>
      <w:shd w:val="clear" w:color="auto" w:fill="E1DFDD"/>
    </w:rPr>
  </w:style>
  <w:style w:type="table" w:customStyle="1" w:styleId="TableGrid1">
    <w:name w:val="Table Grid1"/>
    <w:basedOn w:val="TableNormal"/>
    <w:next w:val="TableGrid"/>
    <w:uiPriority w:val="59"/>
    <w:rsid w:val="001542E6"/>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581D"/>
    <w:rPr>
      <w:rFonts w:ascii="Calibri" w:hAnsi="Calibri" w:eastAsiaTheme="minorHAnsi"/>
      <w:sz w:val="22"/>
      <w:szCs w:val="22"/>
    </w:rPr>
  </w:style>
  <w:style w:type="character" w:styleId="Strong">
    <w:name w:val="Strong"/>
    <w:basedOn w:val="DefaultParagraphFont"/>
    <w:uiPriority w:val="22"/>
    <w:qFormat/>
    <w:rsid w:val="00EA4CA7"/>
    <w:rPr>
      <w:b/>
      <w:bCs/>
    </w:rPr>
  </w:style>
  <w:style w:type="paragraph" w:customStyle="1" w:styleId="paragraph">
    <w:name w:val="paragraph"/>
    <w:basedOn w:val="Normal"/>
    <w:rsid w:val="004002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brinksco.sharepoint.com/sites/GlobalTravelExpense" TargetMode="External" /><Relationship Id="rId11" Type="http://schemas.openxmlformats.org/officeDocument/2006/relationships/hyperlink" Target="mailto:EVaretto@brinks.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5e8845-a69c-4e9c-a143-50df7cacd838" xsi:nil="true"/>
    <lcf76f155ced4ddcb4097134ff3c332f xmlns="ff04336e-09fa-4e91-9b18-d87f1468d0f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A8C53BB93249747A3E9C8CCBF05B163" ma:contentTypeVersion="14" ma:contentTypeDescription="Create a new document." ma:contentTypeScope="" ma:versionID="e1472f0672e8ce38f6b6ba35dc85d86c">
  <xsd:schema xmlns:xsd="http://www.w3.org/2001/XMLSchema" xmlns:xs="http://www.w3.org/2001/XMLSchema" xmlns:p="http://schemas.microsoft.com/office/2006/metadata/properties" xmlns:ns2="ff04336e-09fa-4e91-9b18-d87f1468d0f2" xmlns:ns3="c05e8845-a69c-4e9c-a143-50df7cacd838" targetNamespace="http://schemas.microsoft.com/office/2006/metadata/properties" ma:root="true" ma:fieldsID="9edb596f744f16fc164f65dd555f823e" ns2:_="" ns3:_="">
    <xsd:import namespace="ff04336e-09fa-4e91-9b18-d87f1468d0f2"/>
    <xsd:import namespace="c05e8845-a69c-4e9c-a143-50df7cacd8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4336e-09fa-4e91-9b18-d87f1468d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a5357e-f7a7-49f5-8087-f8948ec628d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5e8845-a69c-4e9c-a143-50df7cacd83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c4d159-83e8-439c-916c-12497e235367}" ma:internalName="TaxCatchAll" ma:showField="CatchAllData" ma:web="c05e8845-a69c-4e9c-a143-50df7cacd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4B0728-0D61-4FA9-8F2B-8DAD8911493E}">
  <ds:schemaRefs>
    <ds:schemaRef ds:uri="http://schemas.microsoft.com/sharepoint/v3/contenttype/forms"/>
  </ds:schemaRefs>
</ds:datastoreItem>
</file>

<file path=customXml/itemProps2.xml><?xml version="1.0" encoding="utf-8"?>
<ds:datastoreItem xmlns:ds="http://schemas.openxmlformats.org/officeDocument/2006/customXml" ds:itemID="{51DB8CF9-68FB-404B-B457-DD89243A6985}">
  <ds:schemaRefs>
    <ds:schemaRef ds:uri="http://schemas.microsoft.com/office/2006/metadata/properties"/>
    <ds:schemaRef ds:uri="http://schemas.microsoft.com/office/infopath/2007/PartnerControls"/>
    <ds:schemaRef ds:uri="c05e8845-a69c-4e9c-a143-50df7cacd838"/>
    <ds:schemaRef ds:uri="ff04336e-09fa-4e91-9b18-d87f1468d0f2"/>
  </ds:schemaRefs>
</ds:datastoreItem>
</file>

<file path=customXml/itemProps3.xml><?xml version="1.0" encoding="utf-8"?>
<ds:datastoreItem xmlns:ds="http://schemas.openxmlformats.org/officeDocument/2006/customXml" ds:itemID="{D9B01C61-A312-4D0B-BE06-480B3FA80119}">
  <ds:schemaRefs>
    <ds:schemaRef ds:uri="http://schemas.openxmlformats.org/officeDocument/2006/bibliography"/>
  </ds:schemaRefs>
</ds:datastoreItem>
</file>

<file path=customXml/itemProps4.xml><?xml version="1.0" encoding="utf-8"?>
<ds:datastoreItem xmlns:ds="http://schemas.openxmlformats.org/officeDocument/2006/customXml" ds:itemID="{4ADB602D-9ACF-4F63-A672-8B85813C2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4336e-09fa-4e91-9b18-d87f1468d0f2"/>
    <ds:schemaRef ds:uri="c05e8845-a69c-4e9c-a143-50df7cacd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3632</Words>
  <Characters>20708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PT_Procurement Polcies_Client Global Procurement Policy_1511255896920</vt:lpstr>
    </vt:vector>
  </TitlesOfParts>
  <Company/>
  <LinksUpToDate>false</LinksUpToDate>
  <CharactersWithSpaces>24292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PT_Procurement Polcies_Client Global Procurement Policy_1511255896920</dc:title>
  <dc:creator>Adarsh</dc:creator>
  <cp:lastModifiedBy>Kaye Faris</cp:lastModifiedBy>
  <cp:revision>2</cp:revision>
  <cp:lastPrinted>2024-11-06T18:51:00Z</cp:lastPrinted>
  <dcterms:created xsi:type="dcterms:W3CDTF">2025-01-03T20:49:00Z</dcterms:created>
  <dcterms:modified xsi:type="dcterms:W3CDTF">2025-01-03T20:49:00Z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0x0101000A8C53BB93249747A3E9C8CCBF05B163</vt:lpwstr>
  </property>
  <property fmtid="{D5CDD505-2E9C-101B-9397-08002B2CF9AE}" pid="3" name="GEPCategory">
    <vt:lpwstr>44;#Not Applicable|f6a66797-3b3b-4ccb-a6d7-048d7cdaa434</vt:lpwstr>
  </property>
  <property fmtid="{D5CDD505-2E9C-101B-9397-08002B2CF9AE}" pid="4" name="GEPRegion">
    <vt:lpwstr>23;#Global|6c9a5115-e493-4cd2-b284-271a59e8a144</vt:lpwstr>
  </property>
  <property fmtid="{D5CDD505-2E9C-101B-9397-08002B2CF9AE}" pid="5" name="MediaServiceImageTags">
    <vt:lpwstr/>
  </property>
  <property fmtid="{D5CDD505-2E9C-101B-9397-08002B2CF9AE}" pid="6" name="_dlc_DocIdItemGuid">
    <vt:lpwstr>39856bae-06e0-43e0-ab7e-554c9e6d5138</vt:lpwstr>
  </property>
</Properties>
</file>