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914BA" w:rsidRPr="00027249" w:rsidP="00E914BA" w14:paraId="468F9556" w14:textId="70EABB44">
      <w:pPr>
        <w:jc w:val="center"/>
        <w:rPr>
          <w:sz w:val="44"/>
        </w:rPr>
      </w:pPr>
    </w:p>
    <w:p w:rsidR="008E4FBA" w:rsidRPr="00BC63C9" w:rsidP="00E914BA" w14:paraId="275392CB" w14:textId="77777777">
      <w:pPr>
        <w:jc w:val="center"/>
        <w:rPr>
          <w:sz w:val="16"/>
          <w:szCs w:val="16"/>
        </w:rPr>
      </w:pPr>
      <w:r w:rsidRPr="00027249">
        <w:rPr>
          <w:sz w:val="44"/>
        </w:rPr>
        <w:t xml:space="preserve"> </w:t>
      </w:r>
    </w:p>
    <w:p w:rsidR="004F2E81" w:rsidP="008E4FBA" w14:paraId="55E6A8F0" w14:textId="4CA02B48">
      <w:pPr>
        <w:jc w:val="center"/>
        <w:rPr>
          <w:sz w:val="44"/>
        </w:rPr>
      </w:pPr>
    </w:p>
    <w:p w:rsidR="004F2E81" w:rsidP="008E4FBA" w14:paraId="0CEBF594" w14:textId="77777777">
      <w:pPr>
        <w:jc w:val="center"/>
        <w:rPr>
          <w:sz w:val="44"/>
        </w:rPr>
      </w:pPr>
    </w:p>
    <w:p w:rsidR="004F2E81" w:rsidP="008E4FBA" w14:paraId="5338E1F1" w14:textId="6A821D56">
      <w:pPr>
        <w:jc w:val="center"/>
        <w:rPr>
          <w:sz w:val="44"/>
        </w:rPr>
      </w:pPr>
    </w:p>
    <w:p w:rsidR="004F2E81" w:rsidP="008E4FBA" w14:paraId="4840B6B6" w14:textId="77777777">
      <w:pPr>
        <w:jc w:val="center"/>
        <w:rPr>
          <w:sz w:val="44"/>
        </w:rPr>
      </w:pPr>
    </w:p>
    <w:p w:rsidR="004F2E81" w:rsidRPr="0051357C" w:rsidP="004F2E81" w14:paraId="2A193A3F" w14:textId="77777777">
      <w:pPr>
        <w:rPr>
          <w:rFonts w:asciiTheme="majorHAnsi" w:hAnsiTheme="majorHAnsi" w:cstheme="majorHAnsi"/>
          <w:sz w:val="44"/>
        </w:rPr>
      </w:pPr>
    </w:p>
    <w:p w:rsidR="0051357C" w:rsidRPr="0051357C" w:rsidP="00A116FD" w14:paraId="25F54AFC" w14:textId="77777777">
      <w:pPr>
        <w:bidi w:val="0"/>
        <w:jc w:val="center"/>
        <w:rPr>
          <w:rFonts w:asciiTheme="majorHAnsi" w:hAnsiTheme="majorHAnsi" w:cstheme="majorHAnsi"/>
          <w:b/>
          <w:bCs/>
          <w:sz w:val="68"/>
          <w:szCs w:val="68"/>
        </w:rPr>
      </w:pPr>
      <w:r w:rsidRPr="0051357C">
        <w:rPr>
          <w:rFonts w:asciiTheme="majorHAnsi" w:hAnsiTheme="majorHAnsi" w:cstheme="majorHAnsi"/>
          <w:b/>
          <w:bCs/>
          <w:sz w:val="68"/>
          <w:szCs w:val="68"/>
          <w:rtl w:val="0"/>
          <w:lang w:val="es"/>
        </w:rPr>
        <w:t xml:space="preserve">BRINK'S GLOBAL </w:t>
      </w:r>
    </w:p>
    <w:p w:rsidR="0051357C" w:rsidRPr="0051357C" w:rsidP="00A116FD" w14:paraId="40BE0718" w14:textId="77777777">
      <w:pPr>
        <w:bidi w:val="0"/>
        <w:jc w:val="center"/>
        <w:rPr>
          <w:rFonts w:asciiTheme="majorHAnsi" w:hAnsiTheme="majorHAnsi" w:cstheme="majorHAnsi"/>
          <w:b/>
          <w:bCs/>
          <w:sz w:val="68"/>
          <w:szCs w:val="68"/>
        </w:rPr>
      </w:pPr>
      <w:r w:rsidRPr="0051357C">
        <w:rPr>
          <w:rFonts w:asciiTheme="majorHAnsi" w:hAnsiTheme="majorHAnsi" w:cstheme="majorHAnsi"/>
          <w:b/>
          <w:bCs/>
          <w:sz w:val="68"/>
          <w:szCs w:val="68"/>
          <w:rtl w:val="0"/>
          <w:lang w:val="es"/>
        </w:rPr>
        <w:t xml:space="preserve">PERSONAL EVENTUAL </w:t>
      </w:r>
    </w:p>
    <w:p w:rsidR="00C87914" w:rsidRPr="0051357C" w:rsidP="00A116FD" w14:paraId="2F8B1E16" w14:textId="71D62E60">
      <w:pPr>
        <w:bidi w:val="0"/>
        <w:jc w:val="center"/>
        <w:rPr>
          <w:rFonts w:asciiTheme="majorHAnsi" w:hAnsiTheme="majorHAnsi" w:cstheme="majorHAnsi"/>
          <w:b/>
          <w:bCs/>
          <w:sz w:val="68"/>
          <w:szCs w:val="68"/>
        </w:rPr>
      </w:pPr>
      <w:r w:rsidRPr="0051357C">
        <w:rPr>
          <w:rFonts w:asciiTheme="majorHAnsi" w:hAnsiTheme="majorHAnsi" w:cstheme="majorHAnsi"/>
          <w:b/>
          <w:bCs/>
          <w:sz w:val="68"/>
          <w:szCs w:val="68"/>
          <w:rtl w:val="0"/>
          <w:lang w:val="es"/>
        </w:rPr>
        <w:t>POLÍTICA</w:t>
      </w:r>
    </w:p>
    <w:p w:rsidR="00D05962" w:rsidRPr="0051357C" w:rsidP="008E4FBA" w14:paraId="30FD2BD1" w14:textId="77777777">
      <w:pPr>
        <w:jc w:val="center"/>
        <w:rPr>
          <w:rFonts w:ascii="Arial" w:hAnsi="Arial" w:cs="Arial"/>
          <w:b/>
          <w:bCs/>
          <w:sz w:val="68"/>
          <w:szCs w:val="68"/>
        </w:rPr>
      </w:pPr>
    </w:p>
    <w:p w:rsidR="004F2E81" w:rsidRPr="0051357C" w:rsidP="008E4FBA" w14:paraId="75AC08D2" w14:textId="77777777">
      <w:pPr>
        <w:jc w:val="center"/>
        <w:rPr>
          <w:rFonts w:ascii="Arial" w:hAnsi="Arial" w:cs="Arial"/>
          <w:b/>
          <w:bCs/>
          <w:sz w:val="44"/>
        </w:rPr>
      </w:pPr>
    </w:p>
    <w:p w:rsidR="004F2E81" w:rsidP="008E4FBA" w14:paraId="63DB44B1" w14:textId="77777777">
      <w:pPr>
        <w:jc w:val="center"/>
        <w:rPr>
          <w:sz w:val="44"/>
        </w:rPr>
      </w:pPr>
    </w:p>
    <w:p w:rsidR="004F2E81" w:rsidP="008E4FBA" w14:paraId="6DE7236C" w14:textId="77777777">
      <w:pPr>
        <w:jc w:val="center"/>
        <w:rPr>
          <w:sz w:val="44"/>
        </w:rPr>
      </w:pPr>
    </w:p>
    <w:p w:rsidR="004F2E81" w:rsidP="008E4FBA" w14:paraId="5746E05E" w14:textId="77777777">
      <w:pPr>
        <w:jc w:val="center"/>
        <w:rPr>
          <w:sz w:val="44"/>
        </w:rPr>
      </w:pPr>
    </w:p>
    <w:p w:rsidR="004F2E81" w:rsidP="008E4FBA" w14:paraId="551A52FC" w14:textId="77777777">
      <w:pPr>
        <w:jc w:val="center"/>
        <w:rPr>
          <w:sz w:val="44"/>
        </w:rPr>
      </w:pPr>
    </w:p>
    <w:p w:rsidR="004F2E81" w:rsidP="008E4FBA" w14:paraId="6DEE6968" w14:textId="77777777">
      <w:pPr>
        <w:jc w:val="center"/>
        <w:rPr>
          <w:sz w:val="44"/>
        </w:rPr>
      </w:pPr>
    </w:p>
    <w:p w:rsidR="004F2E81" w:rsidP="008E4FBA" w14:paraId="6E4EAF24" w14:textId="77777777">
      <w:pPr>
        <w:jc w:val="center"/>
        <w:rPr>
          <w:sz w:val="44"/>
        </w:rPr>
      </w:pPr>
    </w:p>
    <w:p w:rsidR="004F2E81" w:rsidP="008E4FBA" w14:paraId="5BA1FBBA" w14:textId="77777777">
      <w:pPr>
        <w:jc w:val="center"/>
        <w:rPr>
          <w:sz w:val="44"/>
        </w:rPr>
      </w:pPr>
    </w:p>
    <w:p w:rsidR="004F2E81" w:rsidP="008E4FBA" w14:paraId="52AF8C3F" w14:textId="6F5D71F6">
      <w:pPr>
        <w:jc w:val="center"/>
        <w:rPr>
          <w:sz w:val="44"/>
        </w:rPr>
      </w:pPr>
    </w:p>
    <w:p w:rsidR="00F3568E" w:rsidP="008E4FBA" w14:paraId="6EE9D896" w14:textId="7E2C98E1">
      <w:pPr>
        <w:jc w:val="center"/>
        <w:rPr>
          <w:sz w:val="44"/>
        </w:rPr>
      </w:pPr>
    </w:p>
    <w:p w:rsidR="00F3568E" w:rsidP="3F806670" w14:paraId="0FF1FDF5" w14:textId="08CA2F5A">
      <w:pPr>
        <w:jc w:val="center"/>
        <w:rPr>
          <w:sz w:val="44"/>
          <w:szCs w:val="44"/>
        </w:rPr>
      </w:pPr>
    </w:p>
    <w:p w:rsidR="008E4FBA" w:rsidRPr="00593902" w:rsidP="00593902" w14:paraId="0ECA548E" w14:textId="77777777">
      <w:pPr>
        <w:rPr>
          <w:sz w:val="32"/>
          <w:szCs w:val="32"/>
        </w:rPr>
      </w:pPr>
    </w:p>
    <w:p w:rsidR="00D72604" w:rsidP="00593902" w14:paraId="1414A4C6" w14:textId="77777777">
      <w:pPr>
        <w:jc w:val="center"/>
        <w:rPr>
          <w:rFonts w:asciiTheme="majorHAnsi" w:hAnsiTheme="majorHAnsi" w:cstheme="majorHAnsi"/>
          <w:b/>
          <w:bCs/>
          <w:sz w:val="32"/>
          <w:szCs w:val="32"/>
        </w:rPr>
      </w:pPr>
    </w:p>
    <w:p w:rsidR="00337B8A" w:rsidRPr="00593902" w:rsidP="00593902" w14:paraId="11E2A833" w14:textId="2FA97C5C">
      <w:pPr>
        <w:bidi w:val="0"/>
        <w:jc w:val="center"/>
        <w:rPr>
          <w:rFonts w:asciiTheme="majorHAnsi" w:eastAsiaTheme="majorEastAsia" w:hAnsiTheme="majorHAnsi" w:cstheme="majorHAnsi"/>
          <w:b/>
          <w:bCs/>
          <w:color w:val="1F497D" w:themeColor="text2"/>
          <w:sz w:val="32"/>
          <w:szCs w:val="32"/>
        </w:rPr>
      </w:pPr>
      <w:r w:rsidRPr="00593902">
        <w:rPr>
          <w:rFonts w:asciiTheme="majorHAnsi" w:hAnsiTheme="majorHAnsi" w:cstheme="majorHAnsi"/>
          <w:b/>
          <w:bCs/>
          <w:sz w:val="32"/>
          <w:szCs w:val="32"/>
          <w:rtl w:val="0"/>
          <w:lang w:val="es"/>
        </w:rPr>
        <w:t>ÍNDICE</w:t>
      </w:r>
    </w:p>
    <w:p w14:paraId="433FDCD6" w14:textId="3D8696F1">
      <w:pPr>
        <w:pStyle w:val="TOC1"/>
        <w:rPr>
          <w:rFonts w:asciiTheme="minorHAnsi" w:hAnsiTheme="minorHAnsi"/>
          <w:noProof/>
          <w:sz w:val="22"/>
        </w:rPr>
      </w:pPr>
      <w:r w:rsidRPr="00D20217">
        <w:rPr>
          <w:rFonts w:asciiTheme="majorHAnsi" w:hAnsiTheme="majorHAnsi" w:cstheme="majorHAnsi"/>
          <w:sz w:val="22"/>
          <w:szCs w:val="22"/>
        </w:rPr>
        <w:fldChar w:fldCharType="begin"/>
      </w:r>
      <w:r w:rsidRPr="00D20217">
        <w:rPr>
          <w:rFonts w:asciiTheme="majorHAnsi" w:hAnsiTheme="majorHAnsi" w:cstheme="majorHAnsi"/>
          <w:sz w:val="22"/>
          <w:szCs w:val="22"/>
        </w:rPr>
        <w:instrText xml:space="preserve"> TOC \o "1-3" \h \z \u </w:instrText>
      </w:r>
      <w:r w:rsidRPr="00D20217">
        <w:rPr>
          <w:rFonts w:asciiTheme="majorHAnsi" w:hAnsiTheme="majorHAnsi" w:cstheme="majorHAnsi"/>
          <w:sz w:val="22"/>
          <w:szCs w:val="22"/>
        </w:rPr>
        <w:fldChar w:fldCharType="separate"/>
      </w:r>
      <w:hyperlink w:anchor="_Toc256000000" w:history="1">
        <w:r>
          <w:rPr>
            <w:rStyle w:val="Hyperlink"/>
            <w:rFonts w:cstheme="majorHAnsi"/>
          </w:rPr>
          <w:t>I.</w:t>
        </w:r>
        <w:r>
          <w:rPr>
            <w:rFonts w:asciiTheme="minorHAnsi" w:hAnsiTheme="minorHAnsi" w:cstheme="majorHAnsi"/>
            <w:noProof/>
            <w:sz w:val="22"/>
          </w:rPr>
          <w:tab/>
        </w:r>
        <w:r w:rsidRPr="0051357C">
          <w:rPr>
            <w:rStyle w:val="Hyperlink"/>
            <w:rFonts w:cstheme="majorHAnsi"/>
            <w:lang w:val="es"/>
          </w:rPr>
          <w:t>OBJETIVO</w:t>
        </w:r>
        <w:r>
          <w:tab/>
        </w:r>
        <w:r>
          <w:fldChar w:fldCharType="begin"/>
        </w:r>
        <w:r>
          <w:instrText xml:space="preserve"> PAGEREF _Toc256000000 \h </w:instrText>
        </w:r>
        <w:r>
          <w:fldChar w:fldCharType="separate"/>
        </w:r>
        <w:r>
          <w:t>3</w:t>
        </w:r>
        <w:r>
          <w:fldChar w:fldCharType="end"/>
        </w:r>
      </w:hyperlink>
    </w:p>
    <w:p>
      <w:pPr>
        <w:pStyle w:val="TOC1"/>
        <w:rPr>
          <w:rFonts w:asciiTheme="minorHAnsi" w:hAnsiTheme="minorHAnsi"/>
          <w:noProof/>
          <w:sz w:val="22"/>
        </w:rPr>
      </w:pPr>
      <w:hyperlink w:anchor="_Toc256000001" w:history="1">
        <w:r>
          <w:rPr>
            <w:rStyle w:val="Hyperlink"/>
            <w:rFonts w:cstheme="majorHAnsi"/>
          </w:rPr>
          <w:t>II.</w:t>
        </w:r>
        <w:r>
          <w:rPr>
            <w:rFonts w:asciiTheme="minorHAnsi" w:hAnsiTheme="minorHAnsi" w:cstheme="majorHAnsi"/>
            <w:noProof/>
            <w:sz w:val="22"/>
          </w:rPr>
          <w:tab/>
        </w:r>
        <w:r w:rsidRPr="0051357C">
          <w:rPr>
            <w:rStyle w:val="Hyperlink"/>
            <w:rFonts w:cstheme="majorHAnsi"/>
            <w:lang w:val="es"/>
          </w:rPr>
          <w:t>DEFINICIONES</w:t>
        </w:r>
        <w:r>
          <w:tab/>
        </w:r>
        <w:r>
          <w:fldChar w:fldCharType="begin"/>
        </w:r>
        <w:r>
          <w:instrText xml:space="preserve"> PAGEREF _Toc256000001 \h </w:instrText>
        </w:r>
        <w:r>
          <w:fldChar w:fldCharType="separate"/>
        </w:r>
        <w:r>
          <w:t>3</w:t>
        </w:r>
        <w:r>
          <w:fldChar w:fldCharType="end"/>
        </w:r>
      </w:hyperlink>
    </w:p>
    <w:p>
      <w:pPr>
        <w:pStyle w:val="TOC1"/>
        <w:rPr>
          <w:rFonts w:asciiTheme="minorHAnsi" w:hAnsiTheme="minorHAnsi"/>
          <w:noProof/>
          <w:sz w:val="22"/>
        </w:rPr>
      </w:pPr>
      <w:hyperlink w:anchor="_Toc256000002" w:history="1">
        <w:r>
          <w:rPr>
            <w:rStyle w:val="Hyperlink"/>
            <w:rFonts w:cstheme="majorHAnsi"/>
          </w:rPr>
          <w:t>III.</w:t>
        </w:r>
        <w:r>
          <w:rPr>
            <w:rFonts w:asciiTheme="minorHAnsi" w:hAnsiTheme="minorHAnsi" w:cstheme="majorHAnsi"/>
            <w:noProof/>
            <w:sz w:val="22"/>
          </w:rPr>
          <w:tab/>
        </w:r>
        <w:r w:rsidRPr="008E0A00">
          <w:rPr>
            <w:rStyle w:val="Hyperlink"/>
            <w:rFonts w:cstheme="majorHAnsi"/>
            <w:lang w:val="es"/>
          </w:rPr>
          <w:t>ALCANCE</w:t>
        </w:r>
        <w:r>
          <w:tab/>
        </w:r>
        <w:r>
          <w:fldChar w:fldCharType="begin"/>
        </w:r>
        <w:r>
          <w:instrText xml:space="preserve"> PAGEREF _Toc256000002 \h </w:instrText>
        </w:r>
        <w:r>
          <w:fldChar w:fldCharType="separate"/>
        </w:r>
        <w:r>
          <w:t>4</w:t>
        </w:r>
        <w:r>
          <w:fldChar w:fldCharType="end"/>
        </w:r>
      </w:hyperlink>
    </w:p>
    <w:p>
      <w:pPr>
        <w:pStyle w:val="TOC2"/>
        <w:tabs>
          <w:tab w:val="left" w:pos="720"/>
          <w:tab w:val="right" w:leader="dot" w:pos="10358"/>
        </w:tabs>
        <w:rPr>
          <w:rFonts w:asciiTheme="minorHAnsi" w:hAnsiTheme="minorHAnsi"/>
          <w:noProof/>
          <w:sz w:val="22"/>
        </w:rPr>
      </w:pPr>
      <w:hyperlink w:anchor="_Toc256000003" w:history="1">
        <w:r>
          <w:rPr>
            <w:rStyle w:val="Hyperlink"/>
            <w:rFonts w:cstheme="majorHAnsi"/>
          </w:rPr>
          <w:t>A.</w:t>
        </w:r>
        <w:r>
          <w:rPr>
            <w:rFonts w:asciiTheme="minorHAnsi" w:hAnsiTheme="minorHAnsi" w:cstheme="majorHAnsi"/>
            <w:noProof/>
            <w:sz w:val="22"/>
          </w:rPr>
          <w:tab/>
        </w:r>
        <w:r w:rsidRPr="0074239A">
          <w:rPr>
            <w:rStyle w:val="Hyperlink"/>
            <w:rFonts w:cstheme="majorHAnsi"/>
            <w:lang w:val="es"/>
          </w:rPr>
          <w:t>Ámbito geográfico</w:t>
        </w:r>
        <w:r>
          <w:tab/>
        </w:r>
        <w:r>
          <w:fldChar w:fldCharType="begin"/>
        </w:r>
        <w:r>
          <w:instrText xml:space="preserve"> PAGEREF _Toc256000003 \h </w:instrText>
        </w:r>
        <w:r>
          <w:fldChar w:fldCharType="separate"/>
        </w:r>
        <w:r>
          <w:t>4</w:t>
        </w:r>
        <w:r>
          <w:fldChar w:fldCharType="end"/>
        </w:r>
      </w:hyperlink>
    </w:p>
    <w:p>
      <w:pPr>
        <w:pStyle w:val="TOC2"/>
        <w:tabs>
          <w:tab w:val="left" w:pos="720"/>
          <w:tab w:val="right" w:leader="dot" w:pos="10358"/>
        </w:tabs>
        <w:rPr>
          <w:rFonts w:asciiTheme="minorHAnsi" w:hAnsiTheme="minorHAnsi"/>
          <w:noProof/>
          <w:sz w:val="22"/>
        </w:rPr>
      </w:pPr>
      <w:hyperlink w:anchor="_Toc256000004" w:history="1">
        <w:r>
          <w:rPr>
            <w:rStyle w:val="Hyperlink"/>
            <w:rFonts w:cstheme="majorHAnsi"/>
          </w:rPr>
          <w:t>B.</w:t>
        </w:r>
        <w:r>
          <w:rPr>
            <w:rFonts w:asciiTheme="minorHAnsi" w:hAnsiTheme="minorHAnsi" w:cstheme="majorHAnsi"/>
            <w:noProof/>
            <w:sz w:val="22"/>
          </w:rPr>
          <w:tab/>
        </w:r>
        <w:r>
          <w:rPr>
            <w:rStyle w:val="Hyperlink"/>
            <w:rFonts w:cstheme="majorHAnsi"/>
            <w:lang w:val="es"/>
          </w:rPr>
          <w:t>Funciones en el ámbito de la política</w:t>
        </w:r>
        <w:r>
          <w:tab/>
        </w:r>
        <w:r>
          <w:fldChar w:fldCharType="begin"/>
        </w:r>
        <w:r>
          <w:instrText xml:space="preserve"> PAGEREF _Toc256000004 \h </w:instrText>
        </w:r>
        <w:r>
          <w:fldChar w:fldCharType="separate"/>
        </w:r>
        <w:r>
          <w:t>4</w:t>
        </w:r>
        <w:r>
          <w:fldChar w:fldCharType="end"/>
        </w:r>
      </w:hyperlink>
    </w:p>
    <w:p>
      <w:pPr>
        <w:pStyle w:val="TOC3"/>
        <w:tabs>
          <w:tab w:val="right" w:leader="dot" w:pos="10358"/>
        </w:tabs>
        <w:rPr>
          <w:rFonts w:asciiTheme="minorHAnsi" w:hAnsiTheme="minorHAnsi"/>
          <w:noProof/>
          <w:sz w:val="22"/>
        </w:rPr>
      </w:pPr>
      <w:hyperlink w:anchor="_Toc256000005" w:history="1">
        <w:r w:rsidRPr="00F413DF">
          <w:rPr>
            <w:rStyle w:val="Hyperlink"/>
            <w:rFonts w:asciiTheme="majorHAnsi" w:eastAsiaTheme="majorEastAsia" w:hAnsiTheme="majorHAnsi" w:cstheme="majorBidi"/>
            <w:lang w:val="es"/>
          </w:rPr>
          <w:t>Personal eventual</w:t>
        </w:r>
        <w:r>
          <w:tab/>
        </w:r>
        <w:r>
          <w:fldChar w:fldCharType="begin"/>
        </w:r>
        <w:r>
          <w:instrText xml:space="preserve"> PAGEREF _Toc256000005 \h </w:instrText>
        </w:r>
        <w:r>
          <w:fldChar w:fldCharType="separate"/>
        </w:r>
        <w:r>
          <w:t>4</w:t>
        </w:r>
        <w:r>
          <w:fldChar w:fldCharType="end"/>
        </w:r>
      </w:hyperlink>
    </w:p>
    <w:p>
      <w:pPr>
        <w:pStyle w:val="TOC2"/>
        <w:tabs>
          <w:tab w:val="left" w:pos="720"/>
          <w:tab w:val="right" w:leader="dot" w:pos="10358"/>
        </w:tabs>
        <w:rPr>
          <w:rFonts w:asciiTheme="minorHAnsi" w:hAnsiTheme="minorHAnsi"/>
          <w:noProof/>
          <w:sz w:val="22"/>
        </w:rPr>
      </w:pPr>
      <w:hyperlink w:anchor="_Toc256000006" w:history="1">
        <w:r>
          <w:rPr>
            <w:rStyle w:val="Hyperlink"/>
            <w:rFonts w:cstheme="majorHAnsi"/>
            <w:lang w:eastAsia="nl-NL" w:bidi="nl-NL"/>
          </w:rPr>
          <w:t>C.</w:t>
        </w:r>
        <w:r>
          <w:rPr>
            <w:rFonts w:asciiTheme="minorHAnsi" w:hAnsiTheme="minorHAnsi" w:cstheme="majorHAnsi"/>
            <w:noProof/>
            <w:sz w:val="22"/>
            <w:lang w:eastAsia="nl-NL" w:bidi="nl-NL"/>
          </w:rPr>
          <w:tab/>
        </w:r>
        <w:r>
          <w:rPr>
            <w:rStyle w:val="Hyperlink"/>
            <w:rFonts w:cstheme="majorHAnsi"/>
            <w:lang w:val="es"/>
          </w:rPr>
          <w:t>Funciones fuera del ámbito de la política</w:t>
        </w:r>
        <w:r>
          <w:tab/>
        </w:r>
        <w:r>
          <w:fldChar w:fldCharType="begin"/>
        </w:r>
        <w:r>
          <w:instrText xml:space="preserve"> PAGEREF _Toc256000006 \h </w:instrText>
        </w:r>
        <w:r>
          <w:fldChar w:fldCharType="separate"/>
        </w:r>
        <w:r>
          <w:t>4</w:t>
        </w:r>
        <w:r>
          <w:fldChar w:fldCharType="end"/>
        </w:r>
      </w:hyperlink>
    </w:p>
    <w:p>
      <w:pPr>
        <w:pStyle w:val="TOC3"/>
        <w:tabs>
          <w:tab w:val="right" w:leader="dot" w:pos="10358"/>
        </w:tabs>
        <w:rPr>
          <w:rFonts w:asciiTheme="minorHAnsi" w:hAnsiTheme="minorHAnsi"/>
          <w:noProof/>
          <w:sz w:val="22"/>
        </w:rPr>
      </w:pPr>
      <w:hyperlink w:anchor="_Toc256000007" w:history="1">
        <w:r w:rsidRPr="0051357C">
          <w:rPr>
            <w:rStyle w:val="Hyperlink"/>
            <w:rFonts w:cstheme="majorHAnsi"/>
            <w:lang w:val="es"/>
          </w:rPr>
          <w:t>Empleados de Brink's</w:t>
        </w:r>
        <w:r>
          <w:tab/>
        </w:r>
        <w:r>
          <w:fldChar w:fldCharType="begin"/>
        </w:r>
        <w:r>
          <w:instrText xml:space="preserve"> PAGEREF _Toc256000007 \h </w:instrText>
        </w:r>
        <w:r>
          <w:fldChar w:fldCharType="separate"/>
        </w:r>
        <w:r>
          <w:t>4</w:t>
        </w:r>
        <w:r>
          <w:fldChar w:fldCharType="end"/>
        </w:r>
      </w:hyperlink>
    </w:p>
    <w:p>
      <w:pPr>
        <w:pStyle w:val="TOC3"/>
        <w:tabs>
          <w:tab w:val="right" w:leader="dot" w:pos="10358"/>
        </w:tabs>
        <w:rPr>
          <w:rFonts w:asciiTheme="minorHAnsi" w:hAnsiTheme="minorHAnsi"/>
          <w:noProof/>
          <w:sz w:val="22"/>
        </w:rPr>
      </w:pPr>
      <w:hyperlink w:anchor="_Toc256000008" w:history="1">
        <w:r w:rsidRPr="0051357C">
          <w:rPr>
            <w:rStyle w:val="Hyperlink"/>
            <w:rFonts w:cstheme="majorHAnsi"/>
            <w:lang w:val="es"/>
          </w:rPr>
          <w:t>Prácticas</w:t>
        </w:r>
        <w:r>
          <w:tab/>
        </w:r>
        <w:r>
          <w:fldChar w:fldCharType="begin"/>
        </w:r>
        <w:r>
          <w:instrText xml:space="preserve"> PAGEREF _Toc256000008 \h </w:instrText>
        </w:r>
        <w:r>
          <w:fldChar w:fldCharType="separate"/>
        </w:r>
        <w:r>
          <w:t>5</w:t>
        </w:r>
        <w:r>
          <w:fldChar w:fldCharType="end"/>
        </w:r>
      </w:hyperlink>
    </w:p>
    <w:p>
      <w:pPr>
        <w:pStyle w:val="TOC3"/>
        <w:tabs>
          <w:tab w:val="right" w:leader="dot" w:pos="10358"/>
        </w:tabs>
        <w:rPr>
          <w:rFonts w:asciiTheme="minorHAnsi" w:hAnsiTheme="minorHAnsi"/>
          <w:noProof/>
          <w:sz w:val="22"/>
        </w:rPr>
      </w:pPr>
      <w:hyperlink w:anchor="_Toc256000009" w:history="1">
        <w:r w:rsidRPr="0051357C">
          <w:rPr>
            <w:rStyle w:val="Hyperlink"/>
            <w:rFonts w:cstheme="majorHAnsi"/>
            <w:lang w:val="es"/>
          </w:rPr>
          <w:t>Trabajadores de primera línea</w:t>
        </w:r>
        <w:r>
          <w:tab/>
        </w:r>
        <w:r>
          <w:fldChar w:fldCharType="begin"/>
        </w:r>
        <w:r>
          <w:instrText xml:space="preserve"> PAGEREF _Toc256000009 \h </w:instrText>
        </w:r>
        <w:r>
          <w:fldChar w:fldCharType="separate"/>
        </w:r>
        <w:r>
          <w:t>5</w:t>
        </w:r>
        <w:r>
          <w:fldChar w:fldCharType="end"/>
        </w:r>
      </w:hyperlink>
    </w:p>
    <w:p>
      <w:pPr>
        <w:pStyle w:val="TOC3"/>
        <w:tabs>
          <w:tab w:val="right" w:leader="dot" w:pos="10358"/>
        </w:tabs>
        <w:rPr>
          <w:rFonts w:asciiTheme="minorHAnsi" w:hAnsiTheme="minorHAnsi"/>
          <w:noProof/>
          <w:sz w:val="22"/>
        </w:rPr>
      </w:pPr>
      <w:hyperlink w:anchor="_Toc256000010" w:history="1">
        <w:r w:rsidRPr="0051357C">
          <w:rPr>
            <w:rStyle w:val="Hyperlink"/>
            <w:rFonts w:cstheme="majorHAnsi"/>
            <w:lang w:val="es"/>
          </w:rPr>
          <w:t>Empresas de externalización de procesos empresariales (BPO)</w:t>
        </w:r>
        <w:r>
          <w:tab/>
        </w:r>
        <w:r>
          <w:fldChar w:fldCharType="begin"/>
        </w:r>
        <w:r>
          <w:instrText xml:space="preserve"> PAGEREF _Toc256000010 \h </w:instrText>
        </w:r>
        <w:r>
          <w:fldChar w:fldCharType="separate"/>
        </w:r>
        <w:r>
          <w:t>5</w:t>
        </w:r>
        <w:r>
          <w:fldChar w:fldCharType="end"/>
        </w:r>
      </w:hyperlink>
    </w:p>
    <w:p>
      <w:pPr>
        <w:pStyle w:val="TOC3"/>
        <w:tabs>
          <w:tab w:val="right" w:leader="dot" w:pos="10358"/>
        </w:tabs>
        <w:rPr>
          <w:rFonts w:asciiTheme="minorHAnsi" w:hAnsiTheme="minorHAnsi"/>
          <w:noProof/>
          <w:sz w:val="22"/>
        </w:rPr>
      </w:pPr>
      <w:hyperlink w:anchor="_Toc256000011" w:history="1">
        <w:r w:rsidRPr="0051357C">
          <w:rPr>
            <w:rStyle w:val="Hyperlink"/>
            <w:rFonts w:cstheme="majorHAnsi"/>
            <w:lang w:val="es" w:eastAsia="nl-NL" w:bidi="nl-NL"/>
          </w:rPr>
          <w:t>Proyectos de consultoría</w:t>
        </w:r>
        <w:r>
          <w:tab/>
        </w:r>
        <w:r>
          <w:fldChar w:fldCharType="begin"/>
        </w:r>
        <w:r>
          <w:instrText xml:space="preserve"> PAGEREF _Toc256000011 \h </w:instrText>
        </w:r>
        <w:r>
          <w:fldChar w:fldCharType="separate"/>
        </w:r>
        <w:r>
          <w:t>5</w:t>
        </w:r>
        <w:r>
          <w:fldChar w:fldCharType="end"/>
        </w:r>
      </w:hyperlink>
    </w:p>
    <w:p>
      <w:pPr>
        <w:pStyle w:val="TOC1"/>
        <w:rPr>
          <w:rFonts w:asciiTheme="minorHAnsi" w:hAnsiTheme="minorHAnsi"/>
          <w:noProof/>
          <w:sz w:val="22"/>
        </w:rPr>
      </w:pPr>
      <w:hyperlink w:anchor="_Toc256000012" w:history="1">
        <w:r>
          <w:rPr>
            <w:rStyle w:val="Hyperlink"/>
            <w:rFonts w:eastAsia="Calibri"/>
            <w:lang w:eastAsia="nl-NL" w:bidi="nl-NL"/>
          </w:rPr>
          <w:t>IV.</w:t>
        </w:r>
        <w:r>
          <w:rPr>
            <w:rFonts w:eastAsia="Calibri" w:asciiTheme="minorHAnsi" w:hAnsiTheme="minorHAnsi"/>
            <w:noProof/>
            <w:sz w:val="22"/>
            <w:lang w:eastAsia="nl-NL" w:bidi="nl-NL"/>
          </w:rPr>
          <w:tab/>
        </w:r>
        <w:r w:rsidRPr="00852C02">
          <w:rPr>
            <w:rStyle w:val="Hyperlink"/>
            <w:lang w:val="es"/>
          </w:rPr>
          <w:t>NORMAS PARA LA CONTRATACIÓN DE TRABAJADORES EVENTUALES</w:t>
        </w:r>
        <w:r>
          <w:tab/>
        </w:r>
        <w:r>
          <w:fldChar w:fldCharType="begin"/>
        </w:r>
        <w:r>
          <w:instrText xml:space="preserve"> PAGEREF _Toc256000012 \h </w:instrText>
        </w:r>
        <w:r>
          <w:fldChar w:fldCharType="separate"/>
        </w:r>
        <w:r>
          <w:t>6</w:t>
        </w:r>
        <w:r>
          <w:fldChar w:fldCharType="end"/>
        </w:r>
      </w:hyperlink>
    </w:p>
    <w:p>
      <w:pPr>
        <w:pStyle w:val="TOC2"/>
        <w:tabs>
          <w:tab w:val="left" w:pos="720"/>
          <w:tab w:val="right" w:leader="dot" w:pos="10358"/>
        </w:tabs>
        <w:rPr>
          <w:rFonts w:asciiTheme="minorHAnsi" w:hAnsiTheme="minorHAnsi"/>
          <w:noProof/>
          <w:sz w:val="22"/>
        </w:rPr>
      </w:pPr>
      <w:hyperlink w:anchor="_Toc256000013" w:history="1">
        <w:r>
          <w:rPr>
            <w:rStyle w:val="Hyperlink"/>
          </w:rPr>
          <w:t>A.</w:t>
        </w:r>
        <w:r>
          <w:rPr>
            <w:rFonts w:asciiTheme="minorHAnsi" w:hAnsiTheme="minorHAnsi"/>
            <w:noProof/>
            <w:sz w:val="22"/>
          </w:rPr>
          <w:tab/>
        </w:r>
        <w:r w:rsidRPr="3766A6B7">
          <w:rPr>
            <w:rStyle w:val="Hyperlink"/>
            <w:lang w:val="es"/>
          </w:rPr>
          <w:t>Proceso general de toma de decisiones</w:t>
        </w:r>
        <w:r>
          <w:tab/>
        </w:r>
        <w:r>
          <w:fldChar w:fldCharType="begin"/>
        </w:r>
        <w:r>
          <w:instrText xml:space="preserve"> PAGEREF _Toc256000013 \h </w:instrText>
        </w:r>
        <w:r>
          <w:fldChar w:fldCharType="separate"/>
        </w:r>
        <w:r>
          <w:t>6</w:t>
        </w:r>
        <w:r>
          <w:fldChar w:fldCharType="end"/>
        </w:r>
      </w:hyperlink>
    </w:p>
    <w:p>
      <w:pPr>
        <w:pStyle w:val="TOC2"/>
        <w:tabs>
          <w:tab w:val="left" w:pos="720"/>
          <w:tab w:val="right" w:leader="dot" w:pos="10358"/>
        </w:tabs>
        <w:rPr>
          <w:rFonts w:asciiTheme="minorHAnsi" w:hAnsiTheme="minorHAnsi"/>
          <w:noProof/>
          <w:sz w:val="22"/>
        </w:rPr>
      </w:pPr>
      <w:hyperlink w:anchor="_Toc256000014" w:history="1">
        <w:r>
          <w:rPr>
            <w:rStyle w:val="Hyperlink"/>
          </w:rPr>
          <w:t>B.</w:t>
        </w:r>
        <w:r>
          <w:rPr>
            <w:rFonts w:asciiTheme="minorHAnsi" w:hAnsiTheme="minorHAnsi"/>
            <w:noProof/>
            <w:sz w:val="22"/>
          </w:rPr>
          <w:tab/>
        </w:r>
        <w:r w:rsidRPr="0051357C">
          <w:rPr>
            <w:rStyle w:val="Hyperlink"/>
            <w:lang w:val="es"/>
          </w:rPr>
          <w:t>Lista mundial de proveedores preferentes</w:t>
        </w:r>
        <w:r>
          <w:tab/>
        </w:r>
        <w:r>
          <w:fldChar w:fldCharType="begin"/>
        </w:r>
        <w:r>
          <w:instrText xml:space="preserve"> PAGEREF _Toc256000014 \h </w:instrText>
        </w:r>
        <w:r>
          <w:fldChar w:fldCharType="separate"/>
        </w:r>
        <w:r>
          <w:t>7</w:t>
        </w:r>
        <w:r>
          <w:fldChar w:fldCharType="end"/>
        </w:r>
      </w:hyperlink>
    </w:p>
    <w:p>
      <w:pPr>
        <w:pStyle w:val="TOC2"/>
        <w:tabs>
          <w:tab w:val="left" w:pos="720"/>
          <w:tab w:val="right" w:leader="dot" w:pos="10358"/>
        </w:tabs>
        <w:rPr>
          <w:rFonts w:asciiTheme="minorHAnsi" w:hAnsiTheme="minorHAnsi"/>
          <w:noProof/>
          <w:sz w:val="22"/>
        </w:rPr>
      </w:pPr>
      <w:hyperlink w:anchor="_Toc256000015" w:history="1">
        <w:r>
          <w:rPr>
            <w:rStyle w:val="Hyperlink"/>
          </w:rPr>
          <w:t>C.</w:t>
        </w:r>
        <w:r>
          <w:rPr>
            <w:rFonts w:asciiTheme="minorHAnsi" w:hAnsiTheme="minorHAnsi"/>
            <w:noProof/>
            <w:sz w:val="22"/>
          </w:rPr>
          <w:tab/>
        </w:r>
        <w:r w:rsidRPr="74515DB9">
          <w:rPr>
            <w:rStyle w:val="Hyperlink"/>
            <w:lang w:val="es"/>
          </w:rPr>
          <w:t>Contratación estratégica</w:t>
        </w:r>
        <w:r>
          <w:tab/>
        </w:r>
        <w:r>
          <w:fldChar w:fldCharType="begin"/>
        </w:r>
        <w:r>
          <w:instrText xml:space="preserve"> PAGEREF _Toc256000015 \h </w:instrText>
        </w:r>
        <w:r>
          <w:fldChar w:fldCharType="separate"/>
        </w:r>
        <w:r>
          <w:t>8</w:t>
        </w:r>
        <w:r>
          <w:fldChar w:fldCharType="end"/>
        </w:r>
      </w:hyperlink>
    </w:p>
    <w:p>
      <w:pPr>
        <w:pStyle w:val="TOC3"/>
        <w:tabs>
          <w:tab w:val="right" w:leader="dot" w:pos="10358"/>
        </w:tabs>
        <w:rPr>
          <w:rFonts w:asciiTheme="minorHAnsi" w:hAnsiTheme="minorHAnsi"/>
          <w:noProof/>
          <w:sz w:val="22"/>
        </w:rPr>
      </w:pPr>
      <w:hyperlink w:anchor="_Toc256000016" w:history="1">
        <w:r w:rsidRPr="00FA438B" w:rsidR="00141344">
          <w:rPr>
            <w:rStyle w:val="Hyperlink"/>
            <w:lang w:val="es"/>
          </w:rPr>
          <w:t>Contratación de trabajadores eventuales</w:t>
        </w:r>
        <w:r>
          <w:tab/>
        </w:r>
        <w:r>
          <w:fldChar w:fldCharType="begin"/>
        </w:r>
        <w:r>
          <w:instrText xml:space="preserve"> PAGEREF _Toc256000016 \h </w:instrText>
        </w:r>
        <w:r>
          <w:fldChar w:fldCharType="separate"/>
        </w:r>
        <w:r>
          <w:t>8</w:t>
        </w:r>
        <w:r>
          <w:fldChar w:fldCharType="end"/>
        </w:r>
      </w:hyperlink>
    </w:p>
    <w:p>
      <w:pPr>
        <w:pStyle w:val="TOC3"/>
        <w:tabs>
          <w:tab w:val="right" w:leader="dot" w:pos="10358"/>
        </w:tabs>
        <w:rPr>
          <w:rFonts w:asciiTheme="minorHAnsi" w:hAnsiTheme="minorHAnsi"/>
          <w:noProof/>
          <w:sz w:val="22"/>
        </w:rPr>
      </w:pPr>
      <w:hyperlink w:anchor="_Toc256000017" w:history="1">
        <w:r w:rsidRPr="6B3824FD">
          <w:rPr>
            <w:rStyle w:val="Hyperlink"/>
            <w:lang w:val="es"/>
          </w:rPr>
          <w:t>Autorización para contratar</w:t>
        </w:r>
        <w:r>
          <w:tab/>
        </w:r>
        <w:r>
          <w:fldChar w:fldCharType="begin"/>
        </w:r>
        <w:r>
          <w:instrText xml:space="preserve"> PAGEREF _Toc256000017 \h </w:instrText>
        </w:r>
        <w:r>
          <w:fldChar w:fldCharType="separate"/>
        </w:r>
        <w:r>
          <w:t>8</w:t>
        </w:r>
        <w:r>
          <w:fldChar w:fldCharType="end"/>
        </w:r>
      </w:hyperlink>
    </w:p>
    <w:p>
      <w:pPr>
        <w:pStyle w:val="TOC3"/>
        <w:tabs>
          <w:tab w:val="right" w:leader="dot" w:pos="10358"/>
        </w:tabs>
        <w:rPr>
          <w:rFonts w:asciiTheme="minorHAnsi" w:hAnsiTheme="minorHAnsi"/>
          <w:noProof/>
          <w:sz w:val="22"/>
        </w:rPr>
      </w:pPr>
      <w:hyperlink w:anchor="_Toc256000018" w:history="1">
        <w:r w:rsidRPr="6B3824FD">
          <w:rPr>
            <w:rStyle w:val="Hyperlink"/>
            <w:rFonts w:eastAsia="Calibri"/>
            <w:lang w:val="es" w:eastAsia="nl-NL" w:bidi="nl-NL"/>
          </w:rPr>
          <w:t>Duración de la asignación</w:t>
        </w:r>
        <w:r>
          <w:tab/>
        </w:r>
        <w:r>
          <w:fldChar w:fldCharType="begin"/>
        </w:r>
        <w:r>
          <w:instrText xml:space="preserve"> PAGEREF _Toc256000018 \h </w:instrText>
        </w:r>
        <w:r>
          <w:fldChar w:fldCharType="separate"/>
        </w:r>
        <w:r>
          <w:t>8</w:t>
        </w:r>
        <w:r>
          <w:fldChar w:fldCharType="end"/>
        </w:r>
      </w:hyperlink>
    </w:p>
    <w:p>
      <w:pPr>
        <w:pStyle w:val="TOC3"/>
        <w:tabs>
          <w:tab w:val="right" w:leader="dot" w:pos="10358"/>
        </w:tabs>
        <w:rPr>
          <w:rFonts w:asciiTheme="minorHAnsi" w:hAnsiTheme="minorHAnsi"/>
          <w:noProof/>
          <w:sz w:val="22"/>
        </w:rPr>
      </w:pPr>
      <w:hyperlink w:anchor="_Toc256000019" w:history="1">
        <w:r w:rsidRPr="0051357C">
          <w:rPr>
            <w:rStyle w:val="Hyperlink"/>
            <w:rFonts w:eastAsia="Calibri"/>
            <w:lang w:val="es" w:eastAsia="nl-NL" w:bidi="nl-NL"/>
          </w:rPr>
          <w:t>Prórrogas de la asignación</w:t>
        </w:r>
        <w:r>
          <w:tab/>
        </w:r>
        <w:r>
          <w:fldChar w:fldCharType="begin"/>
        </w:r>
        <w:r>
          <w:instrText xml:space="preserve"> PAGEREF _Toc256000019 \h </w:instrText>
        </w:r>
        <w:r>
          <w:fldChar w:fldCharType="separate"/>
        </w:r>
        <w:r>
          <w:t>8</w:t>
        </w:r>
        <w:r>
          <w:fldChar w:fldCharType="end"/>
        </w:r>
      </w:hyperlink>
    </w:p>
    <w:p>
      <w:pPr>
        <w:pStyle w:val="TOC3"/>
        <w:tabs>
          <w:tab w:val="right" w:leader="dot" w:pos="10358"/>
        </w:tabs>
        <w:rPr>
          <w:rFonts w:asciiTheme="minorHAnsi" w:hAnsiTheme="minorHAnsi"/>
          <w:noProof/>
          <w:sz w:val="22"/>
        </w:rPr>
      </w:pPr>
      <w:hyperlink w:anchor="_Toc256000020" w:history="1">
        <w:r w:rsidRPr="0051357C">
          <w:rPr>
            <w:rStyle w:val="Hyperlink"/>
            <w:rFonts w:eastAsia="Calibri"/>
            <w:lang w:val="es" w:eastAsia="nl-NL" w:bidi="nl-NL"/>
          </w:rPr>
          <w:t>Periodo de separación de los trabajadores</w:t>
        </w:r>
        <w:r>
          <w:tab/>
        </w:r>
        <w:r>
          <w:fldChar w:fldCharType="begin"/>
        </w:r>
        <w:r>
          <w:instrText xml:space="preserve"> PAGEREF _Toc256000020 \h </w:instrText>
        </w:r>
        <w:r>
          <w:fldChar w:fldCharType="separate"/>
        </w:r>
        <w:r>
          <w:t>8</w:t>
        </w:r>
        <w:r>
          <w:fldChar w:fldCharType="end"/>
        </w:r>
      </w:hyperlink>
    </w:p>
    <w:p>
      <w:pPr>
        <w:pStyle w:val="TOC3"/>
        <w:tabs>
          <w:tab w:val="right" w:leader="dot" w:pos="10358"/>
        </w:tabs>
        <w:rPr>
          <w:rFonts w:asciiTheme="minorHAnsi" w:hAnsiTheme="minorHAnsi"/>
          <w:noProof/>
          <w:sz w:val="22"/>
        </w:rPr>
      </w:pPr>
      <w:hyperlink w:anchor="_Toc256000021" w:history="1">
        <w:r w:rsidRPr="0051357C">
          <w:rPr>
            <w:rStyle w:val="Hyperlink"/>
            <w:rFonts w:eastAsia="Calibri"/>
            <w:lang w:val="es" w:eastAsia="nl-NL" w:bidi="nl-NL"/>
          </w:rPr>
          <w:t>Asignación Horas extraordinarias</w:t>
        </w:r>
        <w:r>
          <w:tab/>
        </w:r>
        <w:r>
          <w:fldChar w:fldCharType="begin"/>
        </w:r>
        <w:r>
          <w:instrText xml:space="preserve"> PAGEREF _Toc256000021 \h </w:instrText>
        </w:r>
        <w:r>
          <w:fldChar w:fldCharType="separate"/>
        </w:r>
        <w:r>
          <w:t>9</w:t>
        </w:r>
        <w:r>
          <w:fldChar w:fldCharType="end"/>
        </w:r>
      </w:hyperlink>
    </w:p>
    <w:p>
      <w:pPr>
        <w:pStyle w:val="TOC3"/>
        <w:tabs>
          <w:tab w:val="right" w:leader="dot" w:pos="10358"/>
        </w:tabs>
        <w:rPr>
          <w:rFonts w:asciiTheme="minorHAnsi" w:hAnsiTheme="minorHAnsi"/>
          <w:noProof/>
          <w:sz w:val="22"/>
        </w:rPr>
      </w:pPr>
      <w:hyperlink w:anchor="_Toc256000022" w:history="1">
        <w:r w:rsidRPr="0051357C">
          <w:rPr>
            <w:rStyle w:val="Hyperlink"/>
            <w:rFonts w:eastAsia="Calibri"/>
            <w:lang w:val="es" w:eastAsia="nl-NL" w:bidi="nl-NL"/>
          </w:rPr>
          <w:t>Furlough</w:t>
        </w:r>
        <w:r>
          <w:tab/>
        </w:r>
        <w:r>
          <w:fldChar w:fldCharType="begin"/>
        </w:r>
        <w:r>
          <w:instrText xml:space="preserve"> PAGEREF _Toc256000022 \h </w:instrText>
        </w:r>
        <w:r>
          <w:fldChar w:fldCharType="separate"/>
        </w:r>
        <w:r>
          <w:t>9</w:t>
        </w:r>
        <w:r>
          <w:fldChar w:fldCharType="end"/>
        </w:r>
      </w:hyperlink>
    </w:p>
    <w:p>
      <w:pPr>
        <w:pStyle w:val="TOC3"/>
        <w:tabs>
          <w:tab w:val="right" w:leader="dot" w:pos="10358"/>
        </w:tabs>
        <w:rPr>
          <w:rFonts w:asciiTheme="minorHAnsi" w:hAnsiTheme="minorHAnsi"/>
          <w:noProof/>
          <w:sz w:val="22"/>
        </w:rPr>
      </w:pPr>
      <w:hyperlink w:anchor="_Toc256000023" w:history="1">
        <w:r>
          <w:rPr>
            <w:rStyle w:val="Hyperlink"/>
            <w:rFonts w:eastAsia="Calibri"/>
            <w:lang w:val="es" w:eastAsia="nl-NL" w:bidi="nl-NL"/>
          </w:rPr>
          <w:t>Contrataciones recomendadas</w:t>
        </w:r>
        <w:r>
          <w:tab/>
        </w:r>
        <w:r>
          <w:fldChar w:fldCharType="begin"/>
        </w:r>
        <w:r>
          <w:instrText xml:space="preserve"> PAGEREF _Toc256000023 \h </w:instrText>
        </w:r>
        <w:r>
          <w:fldChar w:fldCharType="separate"/>
        </w:r>
        <w:r>
          <w:t>9</w:t>
        </w:r>
        <w:r>
          <w:fldChar w:fldCharType="end"/>
        </w:r>
      </w:hyperlink>
    </w:p>
    <w:p>
      <w:pPr>
        <w:pStyle w:val="TOC3"/>
        <w:tabs>
          <w:tab w:val="right" w:leader="dot" w:pos="10358"/>
        </w:tabs>
        <w:rPr>
          <w:rFonts w:asciiTheme="minorHAnsi" w:hAnsiTheme="minorHAnsi"/>
          <w:noProof/>
          <w:sz w:val="22"/>
        </w:rPr>
      </w:pPr>
      <w:hyperlink w:anchor="_Toc256000024" w:history="1">
        <w:r w:rsidRPr="0051357C">
          <w:rPr>
            <w:rStyle w:val="Hyperlink"/>
            <w:rFonts w:eastAsia="Calibri"/>
            <w:lang w:val="es" w:eastAsia="nl-NL" w:bidi="nl-NL"/>
          </w:rPr>
          <w:t>Gastos y reembolsos</w:t>
        </w:r>
        <w:r>
          <w:tab/>
        </w:r>
        <w:r>
          <w:fldChar w:fldCharType="begin"/>
        </w:r>
        <w:r>
          <w:instrText xml:space="preserve"> PAGEREF _Toc256000024 \h </w:instrText>
        </w:r>
        <w:r>
          <w:fldChar w:fldCharType="separate"/>
        </w:r>
        <w:r>
          <w:t>9</w:t>
        </w:r>
        <w:r>
          <w:fldChar w:fldCharType="end"/>
        </w:r>
      </w:hyperlink>
    </w:p>
    <w:p>
      <w:pPr>
        <w:pStyle w:val="TOC3"/>
        <w:tabs>
          <w:tab w:val="right" w:leader="dot" w:pos="10358"/>
        </w:tabs>
        <w:rPr>
          <w:rFonts w:asciiTheme="minorHAnsi" w:hAnsiTheme="minorHAnsi"/>
          <w:noProof/>
          <w:sz w:val="22"/>
        </w:rPr>
      </w:pPr>
      <w:hyperlink w:anchor="_Toc256000025" w:history="1">
        <w:r w:rsidRPr="0051357C">
          <w:rPr>
            <w:rStyle w:val="Hyperlink"/>
            <w:rFonts w:eastAsia="Calibri"/>
            <w:lang w:val="es" w:eastAsia="nl-NL" w:bidi="nl-NL"/>
          </w:rPr>
          <w:t>Gestión de riesgos</w:t>
        </w:r>
        <w:r>
          <w:tab/>
        </w:r>
        <w:r>
          <w:fldChar w:fldCharType="begin"/>
        </w:r>
        <w:r>
          <w:instrText xml:space="preserve"> PAGEREF _Toc256000025 \h </w:instrText>
        </w:r>
        <w:r>
          <w:fldChar w:fldCharType="separate"/>
        </w:r>
        <w:r>
          <w:t>9</w:t>
        </w:r>
        <w:r>
          <w:fldChar w:fldCharType="end"/>
        </w:r>
      </w:hyperlink>
    </w:p>
    <w:p>
      <w:pPr>
        <w:pStyle w:val="TOC3"/>
        <w:tabs>
          <w:tab w:val="right" w:leader="dot" w:pos="10358"/>
        </w:tabs>
        <w:rPr>
          <w:rFonts w:asciiTheme="minorHAnsi" w:hAnsiTheme="minorHAnsi"/>
          <w:noProof/>
          <w:sz w:val="22"/>
        </w:rPr>
      </w:pPr>
      <w:hyperlink w:anchor="_Toc256000026" w:history="1">
        <w:r w:rsidRPr="0051357C">
          <w:rPr>
            <w:rStyle w:val="Hyperlink"/>
            <w:rFonts w:eastAsia="Calibri"/>
            <w:lang w:val="es" w:eastAsia="nl-NL" w:bidi="nl-NL"/>
          </w:rPr>
          <w:t>Instrucciones de embarque</w:t>
        </w:r>
        <w:r>
          <w:tab/>
        </w:r>
        <w:r>
          <w:fldChar w:fldCharType="begin"/>
        </w:r>
        <w:r>
          <w:instrText xml:space="preserve"> PAGEREF _Toc256000026 \h </w:instrText>
        </w:r>
        <w:r>
          <w:fldChar w:fldCharType="separate"/>
        </w:r>
        <w:r>
          <w:t>10</w:t>
        </w:r>
        <w:r>
          <w:fldChar w:fldCharType="end"/>
        </w:r>
      </w:hyperlink>
    </w:p>
    <w:p>
      <w:pPr>
        <w:pStyle w:val="TOC3"/>
        <w:tabs>
          <w:tab w:val="right" w:leader="dot" w:pos="10358"/>
        </w:tabs>
        <w:rPr>
          <w:rFonts w:asciiTheme="minorHAnsi" w:hAnsiTheme="minorHAnsi"/>
          <w:noProof/>
          <w:sz w:val="22"/>
        </w:rPr>
      </w:pPr>
      <w:hyperlink w:anchor="_Toc256000027" w:history="1">
        <w:r w:rsidRPr="0051357C">
          <w:rPr>
            <w:rStyle w:val="Hyperlink"/>
            <w:rFonts w:eastAsia="Calibri"/>
            <w:lang w:val="es" w:eastAsia="nl-NL" w:bidi="nl-NL"/>
          </w:rPr>
          <w:t>Plazo de preaviso</w:t>
        </w:r>
        <w:r>
          <w:tab/>
        </w:r>
        <w:r>
          <w:fldChar w:fldCharType="begin"/>
        </w:r>
        <w:r>
          <w:instrText xml:space="preserve"> PAGEREF _Toc256000027 \h </w:instrText>
        </w:r>
        <w:r>
          <w:fldChar w:fldCharType="separate"/>
        </w:r>
        <w:r>
          <w:t>10</w:t>
        </w:r>
        <w:r>
          <w:fldChar w:fldCharType="end"/>
        </w:r>
      </w:hyperlink>
    </w:p>
    <w:p>
      <w:pPr>
        <w:pStyle w:val="TOC3"/>
        <w:tabs>
          <w:tab w:val="right" w:leader="dot" w:pos="10358"/>
        </w:tabs>
        <w:rPr>
          <w:rFonts w:asciiTheme="minorHAnsi" w:hAnsiTheme="minorHAnsi"/>
          <w:noProof/>
          <w:sz w:val="22"/>
        </w:rPr>
      </w:pPr>
      <w:hyperlink w:anchor="_Toc256000028" w:history="1">
        <w:r w:rsidRPr="0051357C">
          <w:rPr>
            <w:rStyle w:val="Hyperlink"/>
            <w:rFonts w:eastAsia="Calibri"/>
            <w:lang w:val="es" w:eastAsia="nl-NL" w:bidi="nl-NL"/>
          </w:rPr>
          <w:t>Transferencias temporales a permanentes (temp2perm)</w:t>
        </w:r>
        <w:r>
          <w:tab/>
        </w:r>
        <w:r>
          <w:fldChar w:fldCharType="begin"/>
        </w:r>
        <w:r>
          <w:instrText xml:space="preserve"> PAGEREF _Toc256000028 \h </w:instrText>
        </w:r>
        <w:r>
          <w:fldChar w:fldCharType="separate"/>
        </w:r>
        <w:r>
          <w:t>10</w:t>
        </w:r>
        <w:r>
          <w:fldChar w:fldCharType="end"/>
        </w:r>
      </w:hyperlink>
    </w:p>
    <w:p>
      <w:pPr>
        <w:pStyle w:val="TOC1"/>
        <w:rPr>
          <w:rFonts w:asciiTheme="minorHAnsi" w:hAnsiTheme="minorHAnsi"/>
          <w:noProof/>
          <w:sz w:val="22"/>
        </w:rPr>
      </w:pPr>
      <w:hyperlink w:anchor="_Toc256000029" w:history="1">
        <w:r>
          <w:rPr>
            <w:rStyle w:val="Hyperlink"/>
            <w:rFonts w:cstheme="majorHAnsi"/>
          </w:rPr>
          <w:t>V.</w:t>
        </w:r>
        <w:r>
          <w:rPr>
            <w:rFonts w:asciiTheme="minorHAnsi" w:hAnsiTheme="minorHAnsi" w:cstheme="majorHAnsi"/>
            <w:noProof/>
            <w:sz w:val="22"/>
          </w:rPr>
          <w:tab/>
        </w:r>
        <w:r w:rsidRPr="00593902">
          <w:rPr>
            <w:rStyle w:val="Hyperlink"/>
            <w:rFonts w:cstheme="majorHAnsi"/>
            <w:lang w:val="es"/>
          </w:rPr>
          <w:t>FUNCIONES Y RESPONSABILIDADES</w:t>
        </w:r>
        <w:r>
          <w:tab/>
        </w:r>
        <w:r>
          <w:fldChar w:fldCharType="begin"/>
        </w:r>
        <w:r>
          <w:instrText xml:space="preserve"> PAGEREF _Toc256000029 \h </w:instrText>
        </w:r>
        <w:r>
          <w:fldChar w:fldCharType="separate"/>
        </w:r>
        <w:r>
          <w:t>10</w:t>
        </w:r>
        <w:r>
          <w:fldChar w:fldCharType="end"/>
        </w:r>
      </w:hyperlink>
    </w:p>
    <w:p>
      <w:pPr>
        <w:pStyle w:val="TOC1"/>
        <w:rPr>
          <w:rFonts w:asciiTheme="minorHAnsi" w:hAnsiTheme="minorHAnsi"/>
          <w:noProof/>
          <w:sz w:val="22"/>
        </w:rPr>
      </w:pPr>
      <w:hyperlink w:anchor="_Toc256000030" w:history="1">
        <w:r>
          <w:rPr>
            <w:rStyle w:val="Hyperlink"/>
          </w:rPr>
          <w:t>VI.</w:t>
        </w:r>
        <w:r>
          <w:rPr>
            <w:rFonts w:asciiTheme="minorHAnsi" w:hAnsiTheme="minorHAnsi"/>
            <w:noProof/>
            <w:sz w:val="22"/>
          </w:rPr>
          <w:tab/>
        </w:r>
        <w:r w:rsidRPr="00B53FC1">
          <w:rPr>
            <w:rStyle w:val="Hyperlink"/>
            <w:lang w:val="es"/>
          </w:rPr>
          <w:t>Directrices de adaptación local</w:t>
        </w:r>
        <w:r>
          <w:tab/>
        </w:r>
        <w:r>
          <w:fldChar w:fldCharType="begin"/>
        </w:r>
        <w:r>
          <w:instrText xml:space="preserve"> PAGEREF _Toc256000030 \h </w:instrText>
        </w:r>
        <w:r>
          <w:fldChar w:fldCharType="separate"/>
        </w:r>
        <w:r>
          <w:t>11</w:t>
        </w:r>
        <w:r>
          <w:fldChar w:fldCharType="end"/>
        </w:r>
      </w:hyperlink>
    </w:p>
    <w:p>
      <w:pPr>
        <w:pStyle w:val="TOC2"/>
        <w:tabs>
          <w:tab w:val="right" w:leader="dot" w:pos="10358"/>
        </w:tabs>
        <w:rPr>
          <w:rFonts w:asciiTheme="minorHAnsi" w:hAnsiTheme="minorHAnsi"/>
          <w:noProof/>
          <w:sz w:val="22"/>
        </w:rPr>
      </w:pPr>
      <w:hyperlink w:anchor="_Toc256000031" w:history="1">
        <w:r w:rsidRPr="002436BF">
          <w:rPr>
            <w:rStyle w:val="Hyperlink"/>
            <w:lang w:val="es"/>
          </w:rPr>
          <w:t>Pasos para la adaptación</w:t>
        </w:r>
        <w:r>
          <w:tab/>
        </w:r>
        <w:r>
          <w:fldChar w:fldCharType="begin"/>
        </w:r>
        <w:r>
          <w:instrText xml:space="preserve"> PAGEREF _Toc256000031 \h </w:instrText>
        </w:r>
        <w:r>
          <w:fldChar w:fldCharType="separate"/>
        </w:r>
        <w:r>
          <w:t>12</w:t>
        </w:r>
        <w:r>
          <w:fldChar w:fldCharType="end"/>
        </w:r>
      </w:hyperlink>
    </w:p>
    <w:p>
      <w:pPr>
        <w:pStyle w:val="TOC3"/>
        <w:tabs>
          <w:tab w:val="right" w:leader="dot" w:pos="10358"/>
        </w:tabs>
        <w:rPr>
          <w:rFonts w:asciiTheme="minorHAnsi" w:hAnsiTheme="minorHAnsi"/>
          <w:noProof/>
          <w:sz w:val="22"/>
        </w:rPr>
      </w:pPr>
      <w:hyperlink w:anchor="_Toc256000032" w:history="1">
        <w:r w:rsidRPr="00E51450">
          <w:rPr>
            <w:rStyle w:val="Hyperlink"/>
            <w:rFonts w:ascii="Calibri" w:hAnsi="Calibri" w:cs="Calibri"/>
            <w:lang w:val="es"/>
          </w:rPr>
          <w:t>1. Revisión y evaluación</w:t>
        </w:r>
        <w:r>
          <w:tab/>
        </w:r>
        <w:r>
          <w:fldChar w:fldCharType="begin"/>
        </w:r>
        <w:r>
          <w:instrText xml:space="preserve"> PAGEREF _Toc256000032 \h </w:instrText>
        </w:r>
        <w:r>
          <w:fldChar w:fldCharType="separate"/>
        </w:r>
        <w:r>
          <w:t>12</w:t>
        </w:r>
        <w:r>
          <w:fldChar w:fldCharType="end"/>
        </w:r>
      </w:hyperlink>
    </w:p>
    <w:p>
      <w:pPr>
        <w:pStyle w:val="TOC3"/>
        <w:tabs>
          <w:tab w:val="right" w:leader="dot" w:pos="10358"/>
        </w:tabs>
        <w:rPr>
          <w:rFonts w:asciiTheme="minorHAnsi" w:hAnsiTheme="minorHAnsi"/>
          <w:noProof/>
          <w:sz w:val="22"/>
        </w:rPr>
      </w:pPr>
      <w:hyperlink w:anchor="_Toc256000033" w:history="1">
        <w:r w:rsidRPr="00E51450">
          <w:rPr>
            <w:rStyle w:val="Hyperlink"/>
            <w:lang w:val="es"/>
          </w:rPr>
          <w:t>2. Contextualización local</w:t>
        </w:r>
        <w:r>
          <w:tab/>
        </w:r>
        <w:r>
          <w:fldChar w:fldCharType="begin"/>
        </w:r>
        <w:r>
          <w:instrText xml:space="preserve"> PAGEREF _Toc256000033 \h </w:instrText>
        </w:r>
        <w:r>
          <w:fldChar w:fldCharType="separate"/>
        </w:r>
        <w:r>
          <w:t>12</w:t>
        </w:r>
        <w:r>
          <w:fldChar w:fldCharType="end"/>
        </w:r>
      </w:hyperlink>
    </w:p>
    <w:p>
      <w:pPr>
        <w:pStyle w:val="TOC3"/>
        <w:tabs>
          <w:tab w:val="right" w:leader="dot" w:pos="10358"/>
        </w:tabs>
        <w:rPr>
          <w:rFonts w:asciiTheme="minorHAnsi" w:hAnsiTheme="minorHAnsi"/>
          <w:noProof/>
          <w:sz w:val="22"/>
        </w:rPr>
      </w:pPr>
      <w:hyperlink w:anchor="_Toc256000034" w:history="1">
        <w:r w:rsidRPr="00592AE0">
          <w:rPr>
            <w:rStyle w:val="Hyperlink"/>
            <w:lang w:val="es"/>
          </w:rPr>
          <w:t>3. 3. Proceso de aprobación</w:t>
        </w:r>
        <w:r>
          <w:tab/>
        </w:r>
        <w:r>
          <w:fldChar w:fldCharType="begin"/>
        </w:r>
        <w:r>
          <w:instrText xml:space="preserve"> PAGEREF _Toc256000034 \h </w:instrText>
        </w:r>
        <w:r>
          <w:fldChar w:fldCharType="separate"/>
        </w:r>
        <w:r>
          <w:t>12</w:t>
        </w:r>
        <w:r>
          <w:fldChar w:fldCharType="end"/>
        </w:r>
      </w:hyperlink>
    </w:p>
    <w:p>
      <w:pPr>
        <w:pStyle w:val="TOC3"/>
        <w:tabs>
          <w:tab w:val="right" w:leader="dot" w:pos="10358"/>
        </w:tabs>
        <w:rPr>
          <w:rFonts w:asciiTheme="minorHAnsi" w:hAnsiTheme="minorHAnsi"/>
          <w:noProof/>
          <w:sz w:val="22"/>
        </w:rPr>
      </w:pPr>
      <w:hyperlink w:anchor="_Toc256000035" w:history="1">
        <w:r w:rsidRPr="006F465E">
          <w:rPr>
            <w:rStyle w:val="Hyperlink"/>
            <w:lang w:val="es"/>
          </w:rPr>
          <w:t>4. Comunicación y formación</w:t>
        </w:r>
        <w:r>
          <w:tab/>
        </w:r>
        <w:r>
          <w:fldChar w:fldCharType="begin"/>
        </w:r>
        <w:r>
          <w:instrText xml:space="preserve"> PAGEREF _Toc256000035 \h </w:instrText>
        </w:r>
        <w:r>
          <w:fldChar w:fldCharType="separate"/>
        </w:r>
        <w:r>
          <w:t>13</w:t>
        </w:r>
        <w:r>
          <w:fldChar w:fldCharType="end"/>
        </w:r>
      </w:hyperlink>
    </w:p>
    <w:p>
      <w:pPr>
        <w:pStyle w:val="TOC3"/>
        <w:tabs>
          <w:tab w:val="right" w:leader="dot" w:pos="10358"/>
        </w:tabs>
        <w:rPr>
          <w:rFonts w:asciiTheme="minorHAnsi" w:hAnsiTheme="minorHAnsi"/>
          <w:noProof/>
          <w:sz w:val="22"/>
        </w:rPr>
      </w:pPr>
      <w:hyperlink w:anchor="_Toc256000036" w:history="1">
        <w:r w:rsidRPr="009A2E29">
          <w:rPr>
            <w:rStyle w:val="Hyperlink"/>
            <w:lang w:val="es"/>
          </w:rPr>
          <w:t>5. Seguimiento e informes</w:t>
        </w:r>
        <w:r>
          <w:tab/>
        </w:r>
        <w:r>
          <w:fldChar w:fldCharType="begin"/>
        </w:r>
        <w:r>
          <w:instrText xml:space="preserve"> PAGEREF _Toc256000036 \h </w:instrText>
        </w:r>
        <w:r>
          <w:fldChar w:fldCharType="separate"/>
        </w:r>
        <w:r>
          <w:t>13</w:t>
        </w:r>
        <w:r>
          <w:fldChar w:fldCharType="end"/>
        </w:r>
      </w:hyperlink>
    </w:p>
    <w:p w:rsidR="007061CA" w:rsidRPr="00D20217" w:rsidP="004F2E81">
      <w:pPr>
        <w:rPr>
          <w:rFonts w:asciiTheme="majorHAnsi" w:hAnsiTheme="majorHAnsi" w:cstheme="majorHAnsi"/>
          <w:sz w:val="22"/>
          <w:szCs w:val="22"/>
        </w:rPr>
      </w:pPr>
      <w:r w:rsidRPr="00D20217">
        <w:rPr>
          <w:rFonts w:asciiTheme="majorHAnsi" w:hAnsiTheme="majorHAnsi" w:cstheme="majorHAnsi"/>
          <w:sz w:val="22"/>
          <w:szCs w:val="22"/>
        </w:rPr>
        <w:fldChar w:fldCharType="end"/>
      </w:r>
    </w:p>
    <w:p w:rsidR="004208EF" w:rsidRPr="00D20217" w:rsidP="004F2E81" w14:paraId="3DB078F5" w14:textId="77777777">
      <w:pPr>
        <w:rPr>
          <w:rFonts w:asciiTheme="majorHAnsi" w:hAnsiTheme="majorHAnsi" w:cstheme="majorHAnsi"/>
          <w:sz w:val="22"/>
          <w:szCs w:val="22"/>
        </w:rPr>
      </w:pPr>
    </w:p>
    <w:p w:rsidR="004208EF" w:rsidP="004F2E81" w14:paraId="599E4946" w14:textId="77777777">
      <w:pPr>
        <w:rPr>
          <w:rFonts w:asciiTheme="majorHAnsi" w:hAnsiTheme="majorHAnsi" w:cstheme="majorHAnsi"/>
          <w:sz w:val="22"/>
          <w:szCs w:val="22"/>
        </w:rPr>
      </w:pPr>
    </w:p>
    <w:p w:rsidR="009B6399" w:rsidP="004F2E81" w14:paraId="7073FCE0" w14:textId="77777777">
      <w:pPr>
        <w:rPr>
          <w:rFonts w:asciiTheme="majorHAnsi" w:hAnsiTheme="majorHAnsi" w:cstheme="majorHAnsi"/>
          <w:sz w:val="22"/>
          <w:szCs w:val="22"/>
        </w:rPr>
      </w:pPr>
    </w:p>
    <w:p w:rsidR="009B6399" w:rsidP="004F2E81" w14:paraId="5FE81C71" w14:textId="77777777">
      <w:pPr>
        <w:rPr>
          <w:rFonts w:asciiTheme="majorHAnsi" w:hAnsiTheme="majorHAnsi" w:cstheme="majorHAnsi"/>
          <w:sz w:val="22"/>
          <w:szCs w:val="22"/>
        </w:rPr>
      </w:pPr>
    </w:p>
    <w:p w:rsidR="009B6399" w:rsidP="004F2E81" w14:paraId="58EC99D7" w14:textId="77777777">
      <w:pPr>
        <w:rPr>
          <w:rFonts w:asciiTheme="majorHAnsi" w:hAnsiTheme="majorHAnsi" w:cstheme="majorHAnsi"/>
          <w:sz w:val="22"/>
          <w:szCs w:val="22"/>
        </w:rPr>
      </w:pPr>
    </w:p>
    <w:p w:rsidR="009B6399" w:rsidP="004F2E81" w14:paraId="6DA1268C" w14:textId="77777777">
      <w:pPr>
        <w:rPr>
          <w:rFonts w:asciiTheme="majorHAnsi" w:hAnsiTheme="majorHAnsi" w:cstheme="majorHAnsi"/>
          <w:sz w:val="22"/>
          <w:szCs w:val="22"/>
        </w:rPr>
      </w:pPr>
    </w:p>
    <w:p w:rsidR="00926647" w14:paraId="712B1E63" w14:textId="00D3D731">
      <w:pPr>
        <w:rPr>
          <w:rFonts w:asciiTheme="majorHAnsi" w:hAnsiTheme="majorHAnsi" w:cstheme="majorHAnsi"/>
          <w:sz w:val="22"/>
          <w:szCs w:val="22"/>
        </w:rPr>
      </w:pPr>
      <w:r>
        <w:rPr>
          <w:rFonts w:asciiTheme="majorHAnsi" w:hAnsiTheme="majorHAnsi" w:cstheme="majorHAnsi"/>
          <w:sz w:val="22"/>
          <w:szCs w:val="22"/>
        </w:rPr>
        <w:br w:type="page"/>
      </w:r>
    </w:p>
    <w:p w:rsidR="006B02F5" w:rsidRPr="0051357C" w:rsidP="00337B8A" w14:paraId="5E6E7328" w14:textId="083E29BC">
      <w:pPr>
        <w:pStyle w:val="Heading1"/>
        <w:bidi w:val="0"/>
        <w:spacing w:after="240"/>
        <w:ind w:left="90" w:hanging="90"/>
        <w:rPr>
          <w:rFonts w:cstheme="majorHAnsi"/>
          <w:color w:val="auto"/>
        </w:rPr>
      </w:pPr>
      <w:bookmarkStart w:id="0" w:name="_Toc256000000"/>
      <w:r w:rsidRPr="0051357C">
        <w:rPr>
          <w:rFonts w:cstheme="majorHAnsi"/>
          <w:color w:val="auto"/>
          <w:rtl w:val="0"/>
          <w:lang w:val="es"/>
        </w:rPr>
        <w:t>OBJETIVO</w:t>
      </w:r>
      <w:bookmarkEnd w:id="0"/>
    </w:p>
    <w:p w:rsidR="0015669C" w:rsidP="0015669C" w14:paraId="3F1D2548" w14:textId="07E8E0C7">
      <w:pPr>
        <w:bidi w:val="0"/>
        <w:jc w:val="both"/>
        <w:rPr>
          <w:rFonts w:asciiTheme="majorHAnsi" w:hAnsiTheme="majorHAnsi" w:cstheme="majorHAnsi"/>
          <w:sz w:val="22"/>
          <w:szCs w:val="22"/>
        </w:rPr>
      </w:pPr>
      <w:r w:rsidRPr="000104AC">
        <w:rPr>
          <w:rFonts w:asciiTheme="majorHAnsi" w:hAnsiTheme="majorHAnsi" w:cstheme="majorHAnsi"/>
          <w:sz w:val="22"/>
          <w:szCs w:val="22"/>
          <w:rtl w:val="0"/>
          <w:lang w:val="es"/>
        </w:rPr>
        <w:t>Como parte de nuestra iniciativa para gestionar y controlar mejor el gasto en personal eventual, introducimos esta política para optimizar la contratación de estos servicios. Nuestro objetivo no es solo reducir costes, sino impulsar la eficiencia operativa y crear un mayor valor global para la empresa, reforzando y normalizando nuestros procesos a escala mundial. El incumplimiento puede dar lugar a la cancelación inmediata de la solicitud o a la renegociación del acuerdo, según lo permita la legislación aplicable.</w:t>
      </w:r>
    </w:p>
    <w:p w:rsidR="000104AC" w:rsidRPr="00FE762E" w:rsidP="0051357C" w14:paraId="51C1218A" w14:textId="77777777">
      <w:pPr>
        <w:jc w:val="both"/>
        <w:rPr>
          <w:rFonts w:asciiTheme="majorHAnsi" w:hAnsiTheme="majorHAnsi" w:cstheme="majorHAnsi"/>
          <w:sz w:val="22"/>
          <w:szCs w:val="22"/>
        </w:rPr>
      </w:pPr>
    </w:p>
    <w:p w:rsidR="0015669C" w:rsidP="0051357C" w14:paraId="33D11DFA" w14:textId="51E9E7DC">
      <w:pPr>
        <w:bidi w:val="0"/>
        <w:jc w:val="both"/>
        <w:rPr>
          <w:rFonts w:asciiTheme="majorHAnsi" w:hAnsiTheme="majorHAnsi" w:cstheme="majorHAnsi"/>
          <w:sz w:val="22"/>
          <w:szCs w:val="22"/>
        </w:rPr>
      </w:pPr>
      <w:r w:rsidRPr="00FE762E">
        <w:rPr>
          <w:rFonts w:asciiTheme="majorHAnsi" w:hAnsiTheme="majorHAnsi" w:cstheme="majorHAnsi"/>
          <w:sz w:val="22"/>
          <w:szCs w:val="22"/>
          <w:rtl w:val="0"/>
          <w:lang w:val="es"/>
        </w:rPr>
        <w:t xml:space="preserve">Este documento proporciona un marco exhaustivo para la gestión de las contrataciones de personal externo en todas las entidades jurídicas de Brink's. Incluye directrices clave, como el uso de listas de proveedores preferentes y normas de asignación, al tiempo que garantiza una clara distinción entre mano de obra contingente (mano de obra temporal y contratistas) y contrataciones basadas en resultados. </w:t>
      </w:r>
    </w:p>
    <w:p w:rsidR="00523910" w:rsidP="00AD5774" w14:paraId="3DEFC09B" w14:textId="77777777">
      <w:pPr>
        <w:jc w:val="both"/>
        <w:rPr>
          <w:rFonts w:asciiTheme="majorHAnsi" w:hAnsiTheme="majorHAnsi" w:cstheme="majorHAnsi"/>
          <w:sz w:val="22"/>
          <w:szCs w:val="22"/>
        </w:rPr>
      </w:pPr>
    </w:p>
    <w:p w:rsidR="00523910" w:rsidRPr="0051357C" w:rsidP="00523910" w14:paraId="126180BB" w14:textId="0FFF2AB2">
      <w:pPr>
        <w:pStyle w:val="Heading1"/>
        <w:bidi w:val="0"/>
        <w:spacing w:before="240" w:after="240"/>
        <w:rPr>
          <w:rFonts w:cstheme="majorHAnsi"/>
          <w:color w:val="auto"/>
        </w:rPr>
      </w:pPr>
      <w:bookmarkStart w:id="1" w:name="_Toc256000001"/>
      <w:r w:rsidRPr="0051357C">
        <w:rPr>
          <w:rFonts w:cstheme="majorHAnsi"/>
          <w:color w:val="auto"/>
          <w:rtl w:val="0"/>
          <w:lang w:val="es"/>
        </w:rPr>
        <w:t>DEFINICIONES</w:t>
      </w:r>
      <w:bookmarkEnd w:id="1"/>
    </w:p>
    <w:p w:rsidR="00EA4CA7" w:rsidP="00D20217" w14:paraId="7F3AAFCF" w14:textId="1182B6AE">
      <w:pPr>
        <w:pStyle w:val="ListParagraph"/>
        <w:numPr>
          <w:ilvl w:val="0"/>
          <w:numId w:val="6"/>
        </w:numPr>
        <w:bidi w:val="0"/>
        <w:jc w:val="both"/>
        <w:rPr>
          <w:rFonts w:asciiTheme="majorHAnsi" w:hAnsiTheme="majorHAnsi" w:cstheme="majorHAnsi"/>
          <w:sz w:val="22"/>
          <w:szCs w:val="22"/>
        </w:rPr>
      </w:pPr>
      <w:r w:rsidRPr="00DE4C10">
        <w:rPr>
          <w:rFonts w:asciiTheme="majorHAnsi" w:hAnsiTheme="majorHAnsi" w:cstheme="majorHAnsi"/>
          <w:b/>
          <w:bCs/>
          <w:sz w:val="22"/>
          <w:szCs w:val="22"/>
          <w:u w:val="single"/>
          <w:rtl w:val="0"/>
          <w:lang w:val="es"/>
        </w:rPr>
        <w:t>Co-empleo</w:t>
      </w:r>
      <w:r w:rsidRPr="00EA4CA7">
        <w:rPr>
          <w:rFonts w:asciiTheme="majorHAnsi" w:hAnsiTheme="majorHAnsi" w:cstheme="majorHAnsi"/>
          <w:sz w:val="22"/>
          <w:szCs w:val="22"/>
          <w:rtl w:val="0"/>
          <w:lang w:val="es"/>
        </w:rPr>
        <w:t>: Término legal por el que tanto Brink's como la agencia de colocación pueden considerarse empleadores de un trabajador eventual debido a la participación de Brink's en su supervisión, revisión salarial o gestión del rendimiento. Esta situación puede dar lugar a reclamaciones legales en relación con las prestaciones y los derechos de los trabajadores.</w:t>
      </w:r>
    </w:p>
    <w:p w:rsidR="00E53EEE" w:rsidRPr="00EA4CA7" w:rsidP="00D20217" w14:paraId="14E33134" w14:textId="4C58ABC9">
      <w:pPr>
        <w:pStyle w:val="ListParagraph"/>
        <w:numPr>
          <w:ilvl w:val="0"/>
          <w:numId w:val="6"/>
        </w:numPr>
        <w:bidi w:val="0"/>
        <w:jc w:val="both"/>
        <w:rPr>
          <w:rFonts w:asciiTheme="majorHAnsi" w:hAnsiTheme="majorHAnsi" w:cstheme="majorHAnsi"/>
          <w:sz w:val="22"/>
          <w:szCs w:val="22"/>
        </w:rPr>
      </w:pPr>
      <w:r w:rsidRPr="00A96CF2">
        <w:rPr>
          <w:rFonts w:asciiTheme="majorHAnsi" w:hAnsiTheme="majorHAnsi" w:cstheme="majorHAnsi"/>
          <w:sz w:val="22"/>
          <w:szCs w:val="22"/>
          <w:rtl w:val="0"/>
          <w:lang w:val="es"/>
        </w:rPr>
        <w:t>Mano de obra</w:t>
      </w:r>
      <w:r>
        <w:rPr>
          <w:rFonts w:asciiTheme="majorHAnsi" w:hAnsiTheme="majorHAnsi" w:cstheme="majorHAnsi"/>
          <w:b/>
          <w:bCs/>
          <w:sz w:val="22"/>
          <w:szCs w:val="22"/>
          <w:u w:val="single"/>
          <w:rtl w:val="0"/>
          <w:lang w:val="es"/>
        </w:rPr>
        <w:t xml:space="preserve"> </w:t>
      </w:r>
      <w:r w:rsidRPr="00A96CF2">
        <w:rPr>
          <w:rFonts w:asciiTheme="majorHAnsi" w:hAnsiTheme="majorHAnsi" w:cstheme="majorHAnsi"/>
          <w:sz w:val="22"/>
          <w:szCs w:val="22"/>
          <w:rtl w:val="0"/>
          <w:lang w:val="es"/>
        </w:rPr>
        <w:t xml:space="preserve">eventual: Se refiere a un grupo de trabajadores no permanentes contratados de forma flexible y según las necesidades de la empresa. Estos trabajadores incluyen mano de obra temporal proporcionada por empresas de dotación de personal, contratistas independientes, trabajadores autónomos y otros trabajadores a corto plazo o por proyectos contratados mediante acuerdos o contratos también denominados comúnmente trabajadores eventuales. Estos trabajadores suelen trabajar durante periodos de tiempo fijos o con contratos específicos y se les remunera por tiempo y material, por ejemplo, por hora o por día. </w:t>
      </w:r>
    </w:p>
    <w:p w:rsidR="00EA4CA7" w:rsidP="00D20217" w14:paraId="09778A9E" w14:textId="33001EAD">
      <w:pPr>
        <w:pStyle w:val="ListParagraph"/>
        <w:numPr>
          <w:ilvl w:val="0"/>
          <w:numId w:val="6"/>
        </w:numPr>
        <w:bidi w:val="0"/>
        <w:jc w:val="both"/>
        <w:rPr>
          <w:rFonts w:asciiTheme="majorHAnsi" w:hAnsiTheme="majorHAnsi" w:cstheme="majorHAnsi"/>
          <w:sz w:val="22"/>
          <w:szCs w:val="22"/>
        </w:rPr>
      </w:pPr>
      <w:r w:rsidRPr="00EA4CA7">
        <w:rPr>
          <w:rFonts w:asciiTheme="majorHAnsi" w:hAnsiTheme="majorHAnsi" w:cstheme="majorHAnsi"/>
          <w:sz w:val="22"/>
          <w:szCs w:val="22"/>
          <w:rtl w:val="0"/>
          <w:lang w:val="es"/>
        </w:rPr>
        <w:t>Trabajador</w:t>
      </w:r>
      <w:r w:rsidRPr="00DE4C10">
        <w:rPr>
          <w:rFonts w:asciiTheme="majorHAnsi" w:hAnsiTheme="majorHAnsi" w:cstheme="majorHAnsi"/>
          <w:b/>
          <w:bCs/>
          <w:sz w:val="22"/>
          <w:szCs w:val="22"/>
          <w:u w:val="single"/>
          <w:rtl w:val="0"/>
          <w:lang w:val="es"/>
        </w:rPr>
        <w:t xml:space="preserve"> </w:t>
      </w:r>
      <w:r w:rsidRPr="00EA4CA7">
        <w:rPr>
          <w:rFonts w:asciiTheme="majorHAnsi" w:hAnsiTheme="majorHAnsi" w:cstheme="majorHAnsi"/>
          <w:sz w:val="22"/>
          <w:szCs w:val="22"/>
          <w:rtl w:val="0"/>
          <w:lang w:val="es"/>
        </w:rPr>
        <w:t>eventual: Trabajador no permanente contratado normalmente a través de una empresa de colocación por una duración determinada. A los trabajadores eventuales se les paga por tiempo y material (por ejemplo, por hora o por día).</w:t>
      </w:r>
    </w:p>
    <w:p w:rsidR="00A571B1" w:rsidRPr="00EA4CA7" w:rsidP="00D20217" w14:paraId="332E6E35" w14:textId="0AA3431C">
      <w:pPr>
        <w:pStyle w:val="ListParagraph"/>
        <w:numPr>
          <w:ilvl w:val="0"/>
          <w:numId w:val="6"/>
        </w:numPr>
        <w:bidi w:val="0"/>
        <w:jc w:val="both"/>
        <w:rPr>
          <w:rFonts w:asciiTheme="majorHAnsi" w:hAnsiTheme="majorHAnsi" w:cstheme="majorHAnsi"/>
          <w:sz w:val="22"/>
          <w:szCs w:val="22"/>
        </w:rPr>
      </w:pPr>
      <w:r>
        <w:rPr>
          <w:rFonts w:asciiTheme="majorHAnsi" w:hAnsiTheme="majorHAnsi" w:cstheme="majorHAnsi"/>
          <w:sz w:val="22"/>
          <w:szCs w:val="22"/>
          <w:rtl w:val="0"/>
          <w:lang w:val="es"/>
        </w:rPr>
        <w:t>Trabajador</w:t>
      </w:r>
      <w:r w:rsidRPr="00B974F6">
        <w:rPr>
          <w:rFonts w:asciiTheme="majorHAnsi" w:hAnsiTheme="majorHAnsi" w:cstheme="majorHAnsi"/>
          <w:b/>
          <w:bCs/>
          <w:sz w:val="22"/>
          <w:szCs w:val="22"/>
          <w:u w:val="single"/>
          <w:rtl w:val="0"/>
          <w:lang w:val="es"/>
        </w:rPr>
        <w:t xml:space="preserve"> </w:t>
      </w:r>
      <w:r>
        <w:rPr>
          <w:rFonts w:asciiTheme="majorHAnsi" w:hAnsiTheme="majorHAnsi" w:cstheme="majorHAnsi"/>
          <w:sz w:val="22"/>
          <w:szCs w:val="22"/>
          <w:rtl w:val="0"/>
          <w:lang w:val="es"/>
        </w:rPr>
        <w:t>del conocimiento: Persona cuyo trabajo principal consiste en manejar o trabajar con información, capital intelectual y conocimientos especializados, en lugar de realizar un trabajo manual.</w:t>
      </w:r>
    </w:p>
    <w:p w:rsidR="00EA4CA7" w:rsidRPr="00EA4CA7" w:rsidP="00D20217" w14:paraId="4A0D90F6" w14:textId="52B61BFE">
      <w:pPr>
        <w:pStyle w:val="ListParagraph"/>
        <w:numPr>
          <w:ilvl w:val="0"/>
          <w:numId w:val="6"/>
        </w:numPr>
        <w:bidi w:val="0"/>
        <w:jc w:val="both"/>
        <w:rPr>
          <w:rFonts w:asciiTheme="majorHAnsi" w:hAnsiTheme="majorHAnsi" w:cstheme="majorHAnsi"/>
          <w:sz w:val="22"/>
          <w:szCs w:val="22"/>
        </w:rPr>
      </w:pPr>
      <w:r w:rsidRPr="00EA4CA7">
        <w:rPr>
          <w:rFonts w:asciiTheme="majorHAnsi" w:hAnsiTheme="majorHAnsi" w:cstheme="majorHAnsi"/>
          <w:sz w:val="22"/>
          <w:szCs w:val="22"/>
          <w:rtl w:val="0"/>
          <w:lang w:val="es"/>
        </w:rPr>
        <w:t xml:space="preserve">Contrato </w:t>
      </w:r>
      <w:r w:rsidRPr="00DE4C10">
        <w:rPr>
          <w:rFonts w:asciiTheme="majorHAnsi" w:hAnsiTheme="majorHAnsi" w:cstheme="majorHAnsi"/>
          <w:b/>
          <w:bCs/>
          <w:sz w:val="22"/>
          <w:szCs w:val="22"/>
          <w:u w:val="single"/>
          <w:rtl w:val="0"/>
          <w:lang w:val="es"/>
        </w:rPr>
        <w:t>marco de servicios (MSA):</w:t>
      </w:r>
      <w:r w:rsidRPr="00EA4CA7">
        <w:rPr>
          <w:rFonts w:asciiTheme="majorHAnsi" w:hAnsiTheme="majorHAnsi" w:cstheme="majorHAnsi"/>
          <w:sz w:val="22"/>
          <w:szCs w:val="22"/>
          <w:rtl w:val="0"/>
          <w:lang w:val="es"/>
        </w:rPr>
        <w:t xml:space="preserve"> Contrato entre Brink's y un proveedor en el que se establecen las condiciones generales para futuras transacciones o acuerdos, incluidos términos como el pago, la confidencialidad y la resolución de conflictos.</w:t>
      </w:r>
    </w:p>
    <w:p w:rsidR="00575F28" w:rsidRPr="00A571B1" w:rsidP="00D20217" w14:paraId="78BD1BDB" w14:textId="2C913697">
      <w:pPr>
        <w:pStyle w:val="ListParagraph"/>
        <w:numPr>
          <w:ilvl w:val="0"/>
          <w:numId w:val="6"/>
        </w:numPr>
        <w:bidi w:val="0"/>
        <w:jc w:val="both"/>
        <w:rPr>
          <w:rFonts w:asciiTheme="majorHAnsi" w:hAnsiTheme="majorHAnsi" w:cstheme="majorHAnsi"/>
          <w:sz w:val="22"/>
          <w:szCs w:val="22"/>
        </w:rPr>
      </w:pPr>
      <w:r w:rsidRPr="00EA4CA7">
        <w:rPr>
          <w:rFonts w:asciiTheme="majorHAnsi" w:hAnsiTheme="majorHAnsi" w:cstheme="majorHAnsi"/>
          <w:sz w:val="22"/>
          <w:szCs w:val="22"/>
          <w:rtl w:val="0"/>
          <w:lang w:val="es"/>
        </w:rPr>
        <w:t>Contratación</w:t>
      </w:r>
      <w:r w:rsidRPr="008C3228">
        <w:rPr>
          <w:rFonts w:asciiTheme="majorHAnsi" w:hAnsiTheme="majorHAnsi" w:cstheme="majorHAnsi"/>
          <w:b/>
          <w:bCs/>
          <w:sz w:val="22"/>
          <w:szCs w:val="22"/>
          <w:u w:val="single"/>
          <w:rtl w:val="0"/>
          <w:lang w:val="es"/>
        </w:rPr>
        <w:t xml:space="preserve"> </w:t>
      </w:r>
      <w:r w:rsidRPr="00EA4CA7">
        <w:rPr>
          <w:rFonts w:asciiTheme="majorHAnsi" w:hAnsiTheme="majorHAnsi" w:cstheme="majorHAnsi"/>
          <w:sz w:val="22"/>
          <w:szCs w:val="22"/>
          <w:rtl w:val="0"/>
          <w:lang w:val="es"/>
        </w:rPr>
        <w:t>basada en resultados: Contratos en los que los consultores o las empresas son contratados para entregar un producto o resultado específico, con una remuneración basada en los productos y no en el tiempo trabajado. Estos contratos se basan en proyectos y se centran en el asesoramiento estratégico o los servicios especializados.</w:t>
      </w:r>
    </w:p>
    <w:p w:rsidR="00EA4CA7" w:rsidP="00D20217" w14:paraId="74E57231" w14:textId="41701192">
      <w:pPr>
        <w:pStyle w:val="ListParagraph"/>
        <w:numPr>
          <w:ilvl w:val="0"/>
          <w:numId w:val="6"/>
        </w:numPr>
        <w:bidi w:val="0"/>
        <w:jc w:val="both"/>
        <w:rPr>
          <w:rFonts w:asciiTheme="majorHAnsi" w:hAnsiTheme="majorHAnsi" w:cstheme="majorHAnsi"/>
          <w:sz w:val="22"/>
          <w:szCs w:val="22"/>
        </w:rPr>
      </w:pPr>
      <w:r w:rsidRPr="00EA4CA7">
        <w:rPr>
          <w:rFonts w:asciiTheme="majorHAnsi" w:hAnsiTheme="majorHAnsi" w:cstheme="majorHAnsi"/>
          <w:sz w:val="22"/>
          <w:szCs w:val="22"/>
          <w:rtl w:val="0"/>
          <w:lang w:val="es"/>
        </w:rPr>
        <w:t>Lista de</w:t>
      </w:r>
      <w:r w:rsidRPr="00C6774A">
        <w:rPr>
          <w:rFonts w:asciiTheme="majorHAnsi" w:hAnsiTheme="majorHAnsi" w:cstheme="majorHAnsi"/>
          <w:b/>
          <w:bCs/>
          <w:sz w:val="22"/>
          <w:szCs w:val="22"/>
          <w:u w:val="single"/>
          <w:rtl w:val="0"/>
          <w:lang w:val="es"/>
        </w:rPr>
        <w:t xml:space="preserve"> proveedores </w:t>
      </w:r>
      <w:r w:rsidRPr="00EA4CA7">
        <w:rPr>
          <w:rFonts w:asciiTheme="majorHAnsi" w:hAnsiTheme="majorHAnsi" w:cstheme="majorHAnsi"/>
          <w:sz w:val="22"/>
          <w:szCs w:val="22"/>
          <w:rtl w:val="0"/>
          <w:lang w:val="es"/>
        </w:rPr>
        <w:t>preferentes: Una lista preaprobada de proveedores con contratos globales o regionales vigentes que ofrecen precios competitivos y estructuras de descuento. Estos proveedores son los únicos que prestan servicios de personal eventual, salvo en las circunstancias descritas en esta política.</w:t>
      </w:r>
    </w:p>
    <w:p w:rsidR="0087459C" w:rsidRPr="00EA4CA7" w:rsidP="00D20217" w14:paraId="449F05BE" w14:textId="50A46D5A">
      <w:pPr>
        <w:pStyle w:val="ListParagraph"/>
        <w:numPr>
          <w:ilvl w:val="0"/>
          <w:numId w:val="6"/>
        </w:numPr>
        <w:bidi w:val="0"/>
        <w:jc w:val="both"/>
        <w:rPr>
          <w:rFonts w:asciiTheme="majorHAnsi" w:hAnsiTheme="majorHAnsi" w:cstheme="majorHAnsi"/>
          <w:sz w:val="22"/>
          <w:szCs w:val="22"/>
        </w:rPr>
      </w:pPr>
      <w:r w:rsidRPr="0087459C">
        <w:rPr>
          <w:rFonts w:asciiTheme="majorHAnsi" w:hAnsiTheme="majorHAnsi" w:cstheme="majorHAnsi"/>
          <w:b/>
          <w:bCs/>
          <w:sz w:val="22"/>
          <w:szCs w:val="22"/>
          <w:u w:val="single"/>
          <w:rtl w:val="0"/>
          <w:lang w:val="es"/>
        </w:rPr>
        <w:t>RFx</w:t>
      </w:r>
      <w:r w:rsidRPr="0087459C">
        <w:rPr>
          <w:rFonts w:asciiTheme="majorHAnsi" w:hAnsiTheme="majorHAnsi" w:cstheme="majorHAnsi"/>
          <w:sz w:val="22"/>
          <w:szCs w:val="22"/>
          <w:rtl w:val="0"/>
          <w:lang w:val="es"/>
        </w:rPr>
        <w:t xml:space="preserve"> es un término general que se utiliza para referirse a varios procesos de aprovisionamiento estratégico de "solicitud de" que las organizaciones utilizan para solicitar información, propuestas o presupuestos a proveedores o vendedores. </w:t>
      </w:r>
    </w:p>
    <w:p w:rsidR="00EA4CA7" w:rsidRPr="00EA4CA7" w:rsidP="00D20217" w14:paraId="215AB019" w14:textId="24805EF3">
      <w:pPr>
        <w:pStyle w:val="ListParagraph"/>
        <w:numPr>
          <w:ilvl w:val="0"/>
          <w:numId w:val="6"/>
        </w:numPr>
        <w:bidi w:val="0"/>
        <w:jc w:val="both"/>
        <w:rPr>
          <w:rFonts w:asciiTheme="majorHAnsi" w:hAnsiTheme="majorHAnsi" w:cstheme="majorHAnsi"/>
          <w:sz w:val="22"/>
          <w:szCs w:val="22"/>
        </w:rPr>
      </w:pPr>
      <w:r w:rsidRPr="00C6774A">
        <w:rPr>
          <w:rFonts w:asciiTheme="majorHAnsi" w:hAnsiTheme="majorHAnsi" w:cstheme="majorHAnsi"/>
          <w:b/>
          <w:bCs/>
          <w:sz w:val="22"/>
          <w:szCs w:val="22"/>
          <w:u w:val="single"/>
          <w:rtl w:val="0"/>
          <w:lang w:val="es"/>
        </w:rPr>
        <w:t>Declaración de trabajo (SOW):</w:t>
      </w:r>
      <w:r w:rsidRPr="00EA4CA7">
        <w:rPr>
          <w:rFonts w:asciiTheme="majorHAnsi" w:hAnsiTheme="majorHAnsi" w:cstheme="majorHAnsi"/>
          <w:sz w:val="22"/>
          <w:szCs w:val="22"/>
          <w:rtl w:val="0"/>
          <w:lang w:val="es"/>
        </w:rPr>
        <w:t xml:space="preserve"> Subacuerdo del acuerdo de servicios administrativos en el que se detallan los servicios específicos, los resultados, los plazos y los precios de un determinado proyecto o encargo.</w:t>
      </w:r>
    </w:p>
    <w:p w:rsidR="00EA4CA7" w:rsidP="00D20217" w14:paraId="2F2270F2" w14:textId="4799027F">
      <w:pPr>
        <w:pStyle w:val="ListParagraph"/>
        <w:numPr>
          <w:ilvl w:val="0"/>
          <w:numId w:val="6"/>
        </w:numPr>
        <w:bidi w:val="0"/>
        <w:jc w:val="both"/>
        <w:rPr>
          <w:rFonts w:asciiTheme="majorHAnsi" w:hAnsiTheme="majorHAnsi" w:cstheme="majorHAnsi"/>
          <w:sz w:val="22"/>
          <w:szCs w:val="22"/>
        </w:rPr>
      </w:pPr>
      <w:r w:rsidRPr="00C6774A">
        <w:rPr>
          <w:rFonts w:asciiTheme="majorHAnsi" w:hAnsiTheme="majorHAnsi" w:cstheme="majorHAnsi"/>
          <w:b/>
          <w:bCs/>
          <w:sz w:val="22"/>
          <w:szCs w:val="22"/>
          <w:u w:val="single"/>
          <w:rtl w:val="0"/>
          <w:lang w:val="es"/>
        </w:rPr>
        <w:t>Proveedor/Vendedor</w:t>
      </w:r>
      <w:r w:rsidRPr="00EA4CA7">
        <w:rPr>
          <w:rFonts w:asciiTheme="majorHAnsi" w:hAnsiTheme="majorHAnsi" w:cstheme="majorHAnsi"/>
          <w:sz w:val="22"/>
          <w:szCs w:val="22"/>
          <w:rtl w:val="0"/>
          <w:lang w:val="es"/>
        </w:rPr>
        <w:t>: Una entidad de terceros contratada para proporcionar bienes o servicios a Brink's, como empresas de dotación de personal o proveedores de servicios para mano de obra contingente o servicios basados en proyectos.</w:t>
      </w:r>
    </w:p>
    <w:p w:rsidR="004E78F9" w:rsidRPr="004E78F9" w:rsidP="3F806670" w14:paraId="59172601" w14:textId="4C67D6EF">
      <w:pPr>
        <w:pStyle w:val="ListParagraph"/>
        <w:numPr>
          <w:ilvl w:val="0"/>
          <w:numId w:val="6"/>
        </w:numPr>
        <w:bidi w:val="0"/>
        <w:jc w:val="both"/>
        <w:rPr>
          <w:rFonts w:asciiTheme="majorHAnsi" w:hAnsiTheme="majorHAnsi" w:cstheme="majorBidi"/>
          <w:sz w:val="22"/>
          <w:szCs w:val="22"/>
        </w:rPr>
      </w:pPr>
      <w:r w:rsidRPr="3F806670">
        <w:rPr>
          <w:rFonts w:asciiTheme="majorHAnsi" w:hAnsiTheme="majorHAnsi" w:cstheme="majorBidi"/>
          <w:sz w:val="22"/>
          <w:szCs w:val="22"/>
          <w:rtl w:val="0"/>
          <w:lang w:val="es"/>
        </w:rPr>
        <w:t>El alquiler por</w:t>
      </w:r>
      <w:r w:rsidRPr="3F806670">
        <w:rPr>
          <w:rFonts w:asciiTheme="majorHAnsi" w:hAnsiTheme="majorHAnsi" w:cstheme="majorBidi"/>
          <w:b/>
          <w:bCs/>
          <w:sz w:val="22"/>
          <w:szCs w:val="22"/>
          <w:u w:val="single"/>
          <w:rtl w:val="0"/>
          <w:lang w:val="es"/>
        </w:rPr>
        <w:t xml:space="preserve"> </w:t>
      </w:r>
      <w:r w:rsidRPr="3F806670">
        <w:rPr>
          <w:rFonts w:asciiTheme="majorHAnsi" w:hAnsiTheme="majorHAnsi" w:cstheme="majorBidi"/>
          <w:sz w:val="22"/>
          <w:szCs w:val="22"/>
          <w:rtl w:val="0"/>
          <w:lang w:val="es"/>
        </w:rPr>
        <w:t>tiempo y material se refiere a un tipo de empleo o acuerdo contractual en el que se paga al trabajador en función de la cantidad de tiempo que pasa trabajando (por ejemplo, tarifas por hora o por día) y de los materiales o recursos utilizados para completar el trabajo. Este modelo se utiliza habitualmente para trabajadores eventuales, autónomos y contratistas contratados para tareas o proyectos a corto plazo.</w:t>
      </w:r>
    </w:p>
    <w:p w:rsidR="009B1A09" w:rsidRPr="008E0A00" w:rsidP="00AD5774" w14:paraId="6B2BC5A7" w14:textId="6D12EE33">
      <w:pPr>
        <w:pStyle w:val="Heading1"/>
        <w:bidi w:val="0"/>
        <w:jc w:val="both"/>
        <w:rPr>
          <w:rFonts w:cstheme="majorHAnsi"/>
          <w:color w:val="auto"/>
        </w:rPr>
      </w:pPr>
      <w:bookmarkStart w:id="2" w:name="_Toc256000002"/>
      <w:r w:rsidRPr="008E0A00">
        <w:rPr>
          <w:rFonts w:cstheme="majorHAnsi"/>
          <w:color w:val="auto"/>
          <w:rtl w:val="0"/>
          <w:lang w:val="es"/>
        </w:rPr>
        <w:t>ALCANCE</w:t>
      </w:r>
      <w:bookmarkEnd w:id="2"/>
      <w:r w:rsidRPr="008E0A00">
        <w:rPr>
          <w:rFonts w:cstheme="majorHAnsi"/>
          <w:color w:val="auto"/>
          <w:rtl w:val="0"/>
          <w:lang w:val="es"/>
        </w:rPr>
        <w:t xml:space="preserve"> </w:t>
      </w:r>
    </w:p>
    <w:p w:rsidR="001606B6" w:rsidRPr="0074239A" w:rsidP="00C77AB5" w14:paraId="1A8AFD95" w14:textId="0EF8622B">
      <w:pPr>
        <w:pStyle w:val="Heading2"/>
        <w:bidi w:val="0"/>
        <w:ind w:left="360"/>
        <w:rPr>
          <w:rFonts w:cstheme="majorHAnsi"/>
          <w:color w:val="auto"/>
          <w:sz w:val="22"/>
          <w:szCs w:val="22"/>
        </w:rPr>
      </w:pPr>
      <w:bookmarkStart w:id="3" w:name="_Toc256000003"/>
      <w:r w:rsidRPr="0074239A">
        <w:rPr>
          <w:rFonts w:cstheme="majorHAnsi"/>
          <w:color w:val="auto"/>
          <w:sz w:val="22"/>
          <w:szCs w:val="22"/>
          <w:rtl w:val="0"/>
          <w:lang w:val="es"/>
        </w:rPr>
        <w:t>Ámbito geográfico</w:t>
      </w:r>
      <w:bookmarkEnd w:id="3"/>
    </w:p>
    <w:p w:rsidR="001606B6" w:rsidRPr="0074239A" w:rsidP="001606B6" w14:paraId="7897D0A5" w14:textId="77777777">
      <w:pPr>
        <w:ind w:left="360"/>
        <w:rPr>
          <w:rFonts w:asciiTheme="majorHAnsi" w:hAnsiTheme="majorHAnsi" w:cstheme="majorHAnsi"/>
          <w:sz w:val="22"/>
          <w:szCs w:val="22"/>
        </w:rPr>
      </w:pPr>
    </w:p>
    <w:p w:rsidR="00F94E8C" w:rsidP="00355B9F" w14:paraId="797B7075" w14:textId="6C5C4C8B">
      <w:pPr>
        <w:bidi w:val="0"/>
        <w:rPr>
          <w:rFonts w:asciiTheme="majorHAnsi" w:hAnsiTheme="majorHAnsi" w:cstheme="majorHAnsi"/>
          <w:sz w:val="22"/>
          <w:szCs w:val="22"/>
        </w:rPr>
      </w:pPr>
      <w:r w:rsidRPr="0074239A">
        <w:rPr>
          <w:rFonts w:asciiTheme="majorHAnsi" w:hAnsiTheme="majorHAnsi" w:cstheme="majorHAnsi"/>
          <w:sz w:val="22"/>
          <w:szCs w:val="22"/>
          <w:rtl w:val="0"/>
          <w:lang w:val="es"/>
        </w:rPr>
        <w:t>Esta Política y directriz se aplican a todas las entidades de Brink's a nivel mundial y a sus actividades de contratación asociadas relacionadas con la mano de obra eventual.</w:t>
      </w:r>
    </w:p>
    <w:p w:rsidR="00484EE0" w:rsidP="00355B9F" w14:paraId="0F56BABF" w14:textId="77777777">
      <w:pPr>
        <w:rPr>
          <w:rFonts w:asciiTheme="majorHAnsi" w:hAnsiTheme="majorHAnsi" w:cstheme="majorHAnsi"/>
          <w:sz w:val="22"/>
          <w:szCs w:val="22"/>
        </w:rPr>
      </w:pPr>
    </w:p>
    <w:p w:rsidR="00484EE0" w:rsidRPr="0051357C" w:rsidP="00484EE0" w14:paraId="3174E492" w14:textId="3347723C">
      <w:pPr>
        <w:pStyle w:val="Heading2"/>
        <w:bidi w:val="0"/>
        <w:ind w:left="360"/>
        <w:rPr>
          <w:rFonts w:cstheme="majorHAnsi"/>
          <w:color w:val="auto"/>
          <w:sz w:val="22"/>
          <w:szCs w:val="22"/>
        </w:rPr>
      </w:pPr>
      <w:bookmarkStart w:id="4" w:name="_Toc256000004"/>
      <w:r>
        <w:rPr>
          <w:rFonts w:cstheme="majorHAnsi"/>
          <w:color w:val="auto"/>
          <w:sz w:val="22"/>
          <w:szCs w:val="22"/>
          <w:rtl w:val="0"/>
          <w:lang w:val="es"/>
        </w:rPr>
        <w:t>Funciones en el ámbito de la política</w:t>
      </w:r>
      <w:bookmarkEnd w:id="4"/>
    </w:p>
    <w:p w:rsidR="000B581D" w:rsidRPr="00F413DF" w:rsidP="00F413DF" w14:paraId="17882FD4" w14:textId="14269B76">
      <w:pPr>
        <w:pStyle w:val="Heading3"/>
        <w:numPr>
          <w:ilvl w:val="0"/>
          <w:numId w:val="0"/>
        </w:numPr>
        <w:bidi w:val="0"/>
        <w:rPr>
          <w:i/>
          <w:iCs/>
          <w:color w:val="auto"/>
          <w:sz w:val="22"/>
          <w:szCs w:val="22"/>
        </w:rPr>
      </w:pPr>
      <w:bookmarkStart w:id="5" w:name="_Toc64992937"/>
      <w:bookmarkStart w:id="6" w:name="_Toc256000005"/>
      <w:r w:rsidRPr="00F413DF">
        <w:rPr>
          <w:rStyle w:val="BodyTextChar"/>
          <w:rFonts w:asciiTheme="majorHAnsi" w:eastAsiaTheme="majorEastAsia" w:hAnsiTheme="majorHAnsi" w:cstheme="majorBidi"/>
          <w:i/>
          <w:iCs/>
          <w:color w:val="auto"/>
          <w:szCs w:val="22"/>
          <w:rtl w:val="0"/>
          <w:lang w:val="es"/>
        </w:rPr>
        <w:t>Personal eventual</w:t>
      </w:r>
      <w:bookmarkEnd w:id="6"/>
      <w:bookmarkEnd w:id="5"/>
    </w:p>
    <w:p w:rsidR="0004799F" w:rsidRPr="0051357C" w:rsidP="000B581D" w14:paraId="7EBFA68A" w14:textId="77777777">
      <w:pPr>
        <w:pStyle w:val="NoSpacing"/>
        <w:jc w:val="both"/>
        <w:rPr>
          <w:rFonts w:asciiTheme="majorHAnsi" w:hAnsiTheme="majorHAnsi" w:cstheme="majorHAnsi"/>
          <w:bCs/>
          <w:u w:val="single"/>
          <w:lang w:eastAsia="nl-NL" w:bidi="nl-NL"/>
        </w:rPr>
      </w:pPr>
    </w:p>
    <w:p w:rsidR="003E3331" w:rsidP="6B3824FD" w14:paraId="7F66A13A" w14:textId="5EA6F7DE">
      <w:pPr>
        <w:pStyle w:val="NoSpacing"/>
        <w:bidi w:val="0"/>
        <w:rPr>
          <w:rFonts w:asciiTheme="majorHAnsi" w:hAnsiTheme="majorHAnsi" w:cstheme="majorBidi"/>
          <w:lang w:eastAsia="nl-NL" w:bidi="nl-NL"/>
        </w:rPr>
      </w:pPr>
      <w:r w:rsidR="005B6160">
        <w:rPr>
          <w:rtl w:val="0"/>
          <w:lang w:val="es"/>
        </w:rPr>
        <w:t>Trabajador</w:t>
      </w:r>
      <w:r w:rsidRPr="6B3824FD">
        <w:rPr>
          <w:rFonts w:asciiTheme="majorHAnsi" w:hAnsiTheme="majorHAnsi" w:cstheme="majorBidi"/>
          <w:u w:val="single"/>
          <w:rtl w:val="0"/>
          <w:lang w:val="es" w:eastAsia="nl-NL" w:bidi="nl-NL"/>
        </w:rPr>
        <w:br/>
        <w:t xml:space="preserve"> </w:t>
      </w:r>
      <w:r w:rsidR="005B6160">
        <w:rPr>
          <w:rtl w:val="0"/>
          <w:lang w:val="es"/>
        </w:rPr>
        <w:t xml:space="preserve">temporal Empleado de una empresa de trabajo temporal que es contratado, seleccionado y, a veces, formado por la empresa de trabajo temporal para realizar un trabajo para una organización con la expectativa de que el trabajo tenga una duración determinada. Incluye a los trabajadores con las cualificaciones, los conocimientos y la formación necesarios para desempeñar ocupaciones en los sectores de la industria ligera, oficina/clerical, trabajos generales, contabilidad y finanzas, jurídico, marketing y creatividad, ingeniería, tecnología, investigación y desarrollo, recursos humanos y cualquier otro servicio similar. </w:t>
      </w:r>
    </w:p>
    <w:p w:rsidR="000B581D" w:rsidP="6B3824FD" w14:paraId="035D9BC6" w14:textId="44E075AF">
      <w:pPr>
        <w:pStyle w:val="NoSpacing"/>
        <w:bidi w:val="0"/>
        <w:jc w:val="both"/>
        <w:rPr>
          <w:rFonts w:asciiTheme="majorHAnsi" w:hAnsiTheme="majorHAnsi" w:cstheme="majorBidi"/>
          <w:lang w:eastAsia="nl-NL" w:bidi="nl-NL"/>
        </w:rPr>
      </w:pPr>
      <w:r>
        <w:rPr>
          <w:rtl w:val="0"/>
          <w:lang w:val="es"/>
        </w:rPr>
        <w:br/>
      </w:r>
      <w:r w:rsidRPr="6B3824FD" w:rsidR="6B3824FD">
        <w:rPr>
          <w:rFonts w:asciiTheme="majorHAnsi" w:hAnsiTheme="majorHAnsi" w:cstheme="majorBidi"/>
          <w:u w:val="single"/>
          <w:rtl w:val="0"/>
          <w:lang w:val="es" w:eastAsia="nl-NL" w:bidi="nl-NL"/>
        </w:rPr>
        <w:t>ContratistaPersona</w:t>
      </w:r>
      <w:r>
        <w:rPr>
          <w:rtl w:val="0"/>
          <w:lang w:val="es"/>
        </w:rPr>
        <w:br/>
        <w:t xml:space="preserve"> contratada para prestar un servicio determinado en virtud de un contrato o un pliego de condiciones. Incluye a autónomos, trabajadores por cuenta propia y personas que realizan trabajos de corta duración que no están afiliados a una organización patronal concreta, aunque pueden estar afiliados a una o varias empresas de colocación. Se definen con más detalle en el cuadro siguiente.</w:t>
      </w:r>
    </w:p>
    <w:p w:rsidR="00066940" w:rsidRPr="0051357C" w:rsidP="00DF7BCC" w14:paraId="4DE9DCE7" w14:textId="77777777">
      <w:pPr>
        <w:pStyle w:val="NoSpacing"/>
        <w:jc w:val="both"/>
        <w:rPr>
          <w:rFonts w:asciiTheme="majorHAnsi" w:hAnsiTheme="majorHAnsi" w:cstheme="majorHAnsi"/>
          <w:lang w:eastAsia="nl-NL" w:bidi="nl-NL"/>
        </w:rPr>
      </w:pPr>
    </w:p>
    <w:p w:rsidR="004E3658" w:rsidRPr="0051357C" w:rsidP="0051357C" w14:paraId="2A3A77CF" w14:textId="0EE27509">
      <w:pPr>
        <w:pStyle w:val="Heading2"/>
        <w:bidi w:val="0"/>
        <w:ind w:left="360"/>
        <w:jc w:val="both"/>
        <w:rPr>
          <w:rFonts w:cstheme="majorHAnsi"/>
          <w:sz w:val="22"/>
          <w:szCs w:val="22"/>
          <w:lang w:eastAsia="nl-NL" w:bidi="nl-NL"/>
        </w:rPr>
      </w:pPr>
      <w:r>
        <w:rPr>
          <w:rFonts w:cstheme="majorHAnsi"/>
          <w:color w:val="auto"/>
          <w:sz w:val="22"/>
          <w:szCs w:val="22"/>
          <w:rtl w:val="0"/>
          <w:lang w:val="es"/>
        </w:rPr>
        <w:t xml:space="preserve"> </w:t>
      </w:r>
      <w:bookmarkStart w:id="7" w:name="_Toc256000006"/>
      <w:r>
        <w:rPr>
          <w:rFonts w:cstheme="majorHAnsi"/>
          <w:color w:val="auto"/>
          <w:sz w:val="22"/>
          <w:szCs w:val="22"/>
          <w:rtl w:val="0"/>
          <w:lang w:val="es"/>
        </w:rPr>
        <w:t>Funciones fuera del ámbito de la política</w:t>
      </w:r>
      <w:bookmarkEnd w:id="7"/>
    </w:p>
    <w:p w:rsidR="004E3658" w:rsidRPr="0051357C" w:rsidP="0051357C" w14:paraId="2335D1FC" w14:textId="28D3305C">
      <w:pPr>
        <w:pStyle w:val="Heading3"/>
        <w:numPr>
          <w:ilvl w:val="0"/>
          <w:numId w:val="0"/>
        </w:numPr>
        <w:bidi w:val="0"/>
        <w:jc w:val="both"/>
        <w:rPr>
          <w:rFonts w:cstheme="majorHAnsi"/>
          <w:i/>
          <w:iCs/>
          <w:color w:val="auto"/>
          <w:sz w:val="22"/>
          <w:szCs w:val="22"/>
        </w:rPr>
      </w:pPr>
      <w:bookmarkStart w:id="8" w:name="_Toc64992939"/>
      <w:bookmarkStart w:id="9" w:name="_Toc256000007"/>
      <w:r w:rsidRPr="0051357C">
        <w:rPr>
          <w:rFonts w:cstheme="majorHAnsi"/>
          <w:i/>
          <w:iCs/>
          <w:color w:val="auto"/>
          <w:sz w:val="22"/>
          <w:szCs w:val="22"/>
          <w:rtl w:val="0"/>
          <w:lang w:val="es"/>
        </w:rPr>
        <w:t>Empleados de Brink's</w:t>
      </w:r>
      <w:bookmarkEnd w:id="9"/>
      <w:bookmarkEnd w:id="8"/>
    </w:p>
    <w:p w:rsidR="004E3658" w:rsidRPr="0051357C" w:rsidP="0051357C" w14:paraId="0BF76315" w14:textId="467FE480">
      <w:pPr>
        <w:pStyle w:val="NoSpacing"/>
        <w:bidi w:val="0"/>
        <w:jc w:val="both"/>
      </w:pPr>
      <w:r w:rsidRPr="0051357C">
        <w:rPr>
          <w:rFonts w:asciiTheme="majorHAnsi" w:hAnsiTheme="majorHAnsi" w:cstheme="majorHAnsi"/>
          <w:rtl w:val="0"/>
          <w:lang w:val="es"/>
        </w:rPr>
        <w:t>Empleados fijos o temporales pagados directamente por Brink's (en nómina de Brink's). No tienen una fecha predeterminada de finalización del empleo, excepto algunos empleados a corto plazo que cobran a través de Brink's Payroll. Además de su salario, suelen recibir prestaciones como asistencia sanitaria subvencionada, vacaciones pagadas, días festivos, baja por enfermedad o aportaciones a un plan de jubilación. Tenga en cuenta que la mano de obra</w:t>
      </w:r>
      <w:r w:rsidRPr="006B7893">
        <w:rPr>
          <w:rFonts w:asciiTheme="majorHAnsi" w:hAnsiTheme="majorHAnsi" w:cstheme="majorHAnsi"/>
          <w:i/>
          <w:rtl w:val="0"/>
          <w:lang w:val="es"/>
        </w:rPr>
        <w:t xml:space="preserve"> </w:t>
      </w:r>
      <w:r w:rsidRPr="0051357C">
        <w:rPr>
          <w:rFonts w:asciiTheme="majorHAnsi" w:hAnsiTheme="majorHAnsi" w:cstheme="majorHAnsi"/>
          <w:rtl w:val="0"/>
          <w:lang w:val="es"/>
        </w:rPr>
        <w:t xml:space="preserve">permanente y temporal incluye tanto a los empleados </w:t>
      </w:r>
      <w:r w:rsidRPr="006B7893">
        <w:rPr>
          <w:rFonts w:asciiTheme="majorHAnsi" w:hAnsiTheme="majorHAnsi" w:cstheme="majorHAnsi"/>
          <w:i/>
          <w:rtl w:val="0"/>
          <w:lang w:val="es"/>
        </w:rPr>
        <w:t>a tiempo completo (ETC)</w:t>
      </w:r>
      <w:r w:rsidRPr="0051357C">
        <w:rPr>
          <w:rFonts w:asciiTheme="majorHAnsi" w:hAnsiTheme="majorHAnsi" w:cstheme="majorHAnsi"/>
          <w:rtl w:val="0"/>
          <w:lang w:val="es"/>
        </w:rPr>
        <w:t xml:space="preserve"> como a los empleados que trabajan a tiempo</w:t>
      </w:r>
      <w:r w:rsidRPr="006B7893">
        <w:rPr>
          <w:rFonts w:asciiTheme="majorHAnsi" w:hAnsiTheme="majorHAnsi" w:cstheme="majorHAnsi"/>
          <w:i/>
          <w:rtl w:val="0"/>
          <w:lang w:val="es"/>
        </w:rPr>
        <w:t xml:space="preserve"> </w:t>
      </w:r>
      <w:r w:rsidRPr="0051357C">
        <w:rPr>
          <w:rFonts w:asciiTheme="majorHAnsi" w:hAnsiTheme="majorHAnsi" w:cstheme="majorHAnsi"/>
          <w:rtl w:val="0"/>
          <w:lang w:val="es"/>
        </w:rPr>
        <w:t>parcial.</w:t>
      </w:r>
    </w:p>
    <w:p w:rsidR="004E3658" w:rsidRPr="0051357C" w:rsidP="0051357C" w14:paraId="2CA0C132" w14:textId="6CF34C8D">
      <w:pPr>
        <w:pStyle w:val="Heading3"/>
        <w:numPr>
          <w:ilvl w:val="0"/>
          <w:numId w:val="0"/>
        </w:numPr>
        <w:bidi w:val="0"/>
        <w:jc w:val="both"/>
        <w:rPr>
          <w:rFonts w:cstheme="majorHAnsi"/>
          <w:i/>
          <w:iCs/>
          <w:color w:val="auto"/>
          <w:sz w:val="22"/>
          <w:szCs w:val="22"/>
        </w:rPr>
      </w:pPr>
      <w:bookmarkStart w:id="10" w:name="_Toc64992941"/>
      <w:bookmarkStart w:id="11" w:name="_Toc256000008"/>
      <w:r w:rsidRPr="0051357C">
        <w:rPr>
          <w:rFonts w:cstheme="majorHAnsi"/>
          <w:i/>
          <w:iCs/>
          <w:color w:val="auto"/>
          <w:sz w:val="22"/>
          <w:szCs w:val="22"/>
          <w:rtl w:val="0"/>
          <w:lang w:val="es"/>
        </w:rPr>
        <w:t>Prácticas</w:t>
      </w:r>
      <w:bookmarkEnd w:id="11"/>
      <w:bookmarkEnd w:id="10"/>
    </w:p>
    <w:p w:rsidR="004E3658" w:rsidP="004E3658" w14:paraId="2E206738" w14:textId="336DEF12">
      <w:pPr>
        <w:bidi w:val="0"/>
        <w:jc w:val="both"/>
        <w:rPr>
          <w:rFonts w:asciiTheme="majorHAnsi" w:hAnsiTheme="majorHAnsi" w:cstheme="majorHAnsi"/>
          <w:sz w:val="22"/>
          <w:szCs w:val="22"/>
        </w:rPr>
      </w:pPr>
      <w:r w:rsidRPr="0051357C">
        <w:rPr>
          <w:rFonts w:asciiTheme="majorHAnsi" w:hAnsiTheme="majorHAnsi" w:cstheme="majorHAnsi"/>
          <w:sz w:val="22"/>
          <w:szCs w:val="22"/>
          <w:rtl w:val="0"/>
          <w:lang w:val="es"/>
        </w:rPr>
        <w:t>Un becario puede ser un empleado temporal que es estudiante o ha terminado recientemente sus estudios y recibe formación obteniendo experiencia práctica de un tipo de trabajo. La duración de las prácticas no debe superar los 12 meses, sin perjuicio de la legislación aplicable.</w:t>
      </w:r>
    </w:p>
    <w:p w:rsidR="00DF7BCC" w:rsidRPr="0051357C" w:rsidP="0051357C" w14:paraId="614F6C62" w14:textId="77777777">
      <w:pPr>
        <w:pStyle w:val="Heading3"/>
        <w:numPr>
          <w:ilvl w:val="0"/>
          <w:numId w:val="0"/>
        </w:numPr>
        <w:bidi w:val="0"/>
        <w:jc w:val="both"/>
        <w:rPr>
          <w:rFonts w:cstheme="majorHAnsi"/>
          <w:i/>
          <w:iCs/>
          <w:color w:val="auto"/>
          <w:sz w:val="22"/>
          <w:szCs w:val="22"/>
        </w:rPr>
      </w:pPr>
      <w:bookmarkStart w:id="12" w:name="_Toc256000009"/>
      <w:r w:rsidRPr="0051357C">
        <w:rPr>
          <w:rFonts w:cstheme="majorHAnsi"/>
          <w:i/>
          <w:iCs/>
          <w:color w:val="auto"/>
          <w:sz w:val="22"/>
          <w:szCs w:val="22"/>
          <w:rtl w:val="0"/>
          <w:lang w:val="es"/>
        </w:rPr>
        <w:t>Trabajadores de primera línea</w:t>
      </w:r>
      <w:bookmarkEnd w:id="12"/>
      <w:r w:rsidRPr="0051357C">
        <w:rPr>
          <w:rFonts w:cstheme="majorHAnsi"/>
          <w:i/>
          <w:iCs/>
          <w:color w:val="auto"/>
          <w:sz w:val="22"/>
          <w:szCs w:val="22"/>
          <w:rtl w:val="0"/>
          <w:lang w:val="es"/>
        </w:rPr>
        <w:t xml:space="preserve"> </w:t>
      </w:r>
    </w:p>
    <w:p w:rsidR="00DF7BCC" w:rsidP="00DF7BCC" w14:paraId="3EFDD002" w14:textId="1F9F4867">
      <w:pPr>
        <w:pStyle w:val="NoSpacing"/>
        <w:bidi w:val="0"/>
        <w:jc w:val="both"/>
        <w:rPr>
          <w:lang w:eastAsia="nl-NL" w:bidi="nl-NL"/>
        </w:rPr>
      </w:pPr>
      <w:r w:rsidRPr="6B3824FD">
        <w:rPr>
          <w:rtl w:val="0"/>
          <w:lang w:val="es" w:eastAsia="nl-NL" w:bidi="nl-NL"/>
        </w:rPr>
        <w:t>Un trabajador de primera línea se considera un empleado que participa directamente en nuestras operaciones (por ejemplo, personal eventual contratado en nuestros centros de procesamiento de efectivo). Tampoco se incluyen en el ámbito de aplicación de esta política los trabajadores de primera línea interinos, a corto plazo, temporales o estacionales que trabajen en líneas de producción, presten apoyo laboral general u otros servicios similares.</w:t>
      </w:r>
    </w:p>
    <w:p w:rsidR="004E3658" w:rsidRPr="0051357C" w:rsidP="0051357C" w14:paraId="11D50BC8" w14:textId="77777777">
      <w:pPr>
        <w:pStyle w:val="Heading3"/>
        <w:numPr>
          <w:ilvl w:val="0"/>
          <w:numId w:val="0"/>
        </w:numPr>
        <w:bidi w:val="0"/>
        <w:jc w:val="both"/>
        <w:rPr>
          <w:rFonts w:eastAsia="Calibri" w:cstheme="majorHAnsi"/>
          <w:i/>
          <w:iCs/>
          <w:color w:val="auto"/>
          <w:sz w:val="22"/>
          <w:szCs w:val="22"/>
          <w:lang w:eastAsia="nl-NL" w:bidi="nl-NL"/>
        </w:rPr>
      </w:pPr>
      <w:bookmarkStart w:id="13" w:name="_Toc64992942"/>
      <w:bookmarkStart w:id="14" w:name="_Toc256000010"/>
      <w:r w:rsidRPr="0051357C">
        <w:rPr>
          <w:rStyle w:val="Heading3Char"/>
          <w:rFonts w:cstheme="majorHAnsi"/>
          <w:b/>
          <w:bCs/>
          <w:i/>
          <w:iCs/>
          <w:color w:val="auto"/>
          <w:sz w:val="22"/>
          <w:szCs w:val="22"/>
          <w:rtl w:val="0"/>
          <w:lang w:val="es"/>
        </w:rPr>
        <w:t>Empresas de externalización de procesos empresariales (BPO)</w:t>
      </w:r>
      <w:bookmarkEnd w:id="14"/>
      <w:bookmarkEnd w:id="13"/>
      <w:r w:rsidRPr="0051357C">
        <w:rPr>
          <w:rStyle w:val="Heading3Char"/>
          <w:rFonts w:cstheme="majorHAnsi"/>
          <w:b/>
          <w:bCs/>
          <w:i/>
          <w:iCs/>
          <w:color w:val="auto"/>
          <w:sz w:val="22"/>
          <w:szCs w:val="22"/>
          <w:rtl w:val="0"/>
          <w:lang w:val="es"/>
        </w:rPr>
        <w:t xml:space="preserve"> </w:t>
      </w:r>
    </w:p>
    <w:p w:rsidR="004E3658" w:rsidP="004E3658" w14:paraId="3531A750" w14:textId="50305AB0">
      <w:pPr>
        <w:bidi w:val="0"/>
        <w:jc w:val="both"/>
        <w:rPr>
          <w:rFonts w:asciiTheme="majorHAnsi" w:hAnsiTheme="majorHAnsi" w:cstheme="majorHAnsi"/>
          <w:sz w:val="22"/>
          <w:szCs w:val="22"/>
          <w:lang w:eastAsia="nl-NL" w:bidi="nl-NL"/>
        </w:rPr>
      </w:pPr>
      <w:r w:rsidRPr="0051357C">
        <w:rPr>
          <w:rFonts w:asciiTheme="majorHAnsi" w:hAnsiTheme="majorHAnsi" w:cstheme="majorHAnsi"/>
          <w:sz w:val="22"/>
          <w:szCs w:val="22"/>
          <w:rtl w:val="0"/>
          <w:lang w:val="es"/>
        </w:rPr>
        <w:t xml:space="preserve">La externalización de procesos empresariales (BPO) se define como la subcontratación de funciones empresariales (como finanzas, contabilidad y atención al cliente) sin intención de volver a subcontratarlas. Los contratos con empresas de BPO duran como mínimo tres años. Por ejemplo, las actividades de soporte informático realizadas por una empresa como Infosys pertenecen a la categoría de BPO. </w:t>
      </w:r>
    </w:p>
    <w:p w:rsidR="00E83C76" w:rsidP="004E3658" w14:paraId="5B768955" w14:textId="77777777">
      <w:pPr>
        <w:jc w:val="both"/>
        <w:rPr>
          <w:rFonts w:asciiTheme="majorHAnsi" w:hAnsiTheme="majorHAnsi" w:cstheme="majorHAnsi"/>
          <w:sz w:val="22"/>
          <w:szCs w:val="22"/>
          <w:lang w:eastAsia="nl-NL" w:bidi="nl-NL"/>
        </w:rPr>
      </w:pPr>
    </w:p>
    <w:p w:rsidR="00E83C76" w:rsidRPr="00A96CF2" w:rsidP="004E3658" w14:paraId="55EE01D9" w14:textId="73218D0B">
      <w:pPr>
        <w:bidi w:val="0"/>
        <w:jc w:val="both"/>
        <w:rPr>
          <w:rFonts w:asciiTheme="majorHAnsi" w:hAnsiTheme="majorHAnsi" w:cstheme="majorHAnsi"/>
          <w:b/>
          <w:bCs/>
          <w:i/>
          <w:iCs/>
          <w:sz w:val="22"/>
          <w:szCs w:val="22"/>
          <w:lang w:eastAsia="nl-NL" w:bidi="nl-NL"/>
        </w:rPr>
      </w:pPr>
      <w:r w:rsidRPr="00A96CF2">
        <w:rPr>
          <w:rFonts w:asciiTheme="majorHAnsi" w:hAnsiTheme="majorHAnsi" w:cstheme="majorHAnsi"/>
          <w:b/>
          <w:bCs/>
          <w:i/>
          <w:iCs/>
          <w:sz w:val="22"/>
          <w:szCs w:val="22"/>
          <w:rtl w:val="0"/>
          <w:lang w:val="es" w:eastAsia="nl-NL" w:bidi="nl-NL"/>
        </w:rPr>
        <w:t>Despachos de abogados</w:t>
      </w:r>
    </w:p>
    <w:p w:rsidR="00E83C76" w:rsidRPr="0051357C" w:rsidP="004E3658" w14:paraId="04C4292A" w14:textId="2FE92277">
      <w:pPr>
        <w:bidi w:val="0"/>
        <w:jc w:val="both"/>
        <w:rPr>
          <w:rFonts w:asciiTheme="majorHAnsi" w:hAnsiTheme="majorHAnsi" w:cstheme="majorHAnsi"/>
          <w:sz w:val="22"/>
          <w:szCs w:val="22"/>
          <w:lang w:val="en-GB"/>
        </w:rPr>
      </w:pPr>
      <w:r>
        <w:rPr>
          <w:rFonts w:asciiTheme="majorHAnsi" w:hAnsiTheme="majorHAnsi" w:cstheme="majorHAnsi"/>
          <w:sz w:val="22"/>
          <w:szCs w:val="22"/>
          <w:rtl w:val="0"/>
          <w:lang w:val="es"/>
        </w:rPr>
        <w:t>Un bufete de abogados es una entidad empresarial formada por uno o varios abogados para prestar asesoramiento jurídico a sus clientes, representarlos en litigios y gestionar asuntos como contratos, litigios y negociaciones. La selección y contratación de bufetes de abogados se rige por la Política de Servicios Jurídicos de Brink's.</w:t>
      </w:r>
    </w:p>
    <w:p w:rsidR="009401F0" w:rsidRPr="0051357C" w:rsidP="00265B75" w14:paraId="5243A958" w14:textId="0BE46F9F">
      <w:pPr>
        <w:pStyle w:val="Heading3"/>
        <w:numPr>
          <w:ilvl w:val="0"/>
          <w:numId w:val="0"/>
        </w:numPr>
        <w:tabs>
          <w:tab w:val="left" w:pos="9135"/>
        </w:tabs>
        <w:bidi w:val="0"/>
        <w:rPr>
          <w:rFonts w:cstheme="majorHAnsi"/>
          <w:i/>
          <w:iCs/>
          <w:color w:val="auto"/>
          <w:sz w:val="22"/>
          <w:szCs w:val="22"/>
          <w:lang w:eastAsia="nl-NL" w:bidi="nl-NL"/>
        </w:rPr>
      </w:pPr>
      <w:bookmarkStart w:id="15" w:name="_Toc256000011"/>
      <w:r w:rsidRPr="0051357C">
        <w:rPr>
          <w:rFonts w:cstheme="majorHAnsi"/>
          <w:i/>
          <w:iCs/>
          <w:color w:val="auto"/>
          <w:sz w:val="22"/>
          <w:szCs w:val="22"/>
          <w:rtl w:val="0"/>
          <w:lang w:val="es" w:eastAsia="nl-NL" w:bidi="nl-NL"/>
        </w:rPr>
        <w:t>Proyectos de consultoría</w:t>
      </w:r>
      <w:bookmarkEnd w:id="15"/>
      <w:r w:rsidRPr="0051357C">
        <w:rPr>
          <w:rFonts w:cstheme="majorHAnsi"/>
          <w:i/>
          <w:iCs/>
          <w:color w:val="auto"/>
          <w:sz w:val="22"/>
          <w:szCs w:val="22"/>
          <w:rtl w:val="0"/>
          <w:lang w:val="es" w:eastAsia="nl-NL" w:bidi="nl-NL"/>
        </w:rPr>
        <w:tab/>
      </w:r>
    </w:p>
    <w:p w:rsidR="008C25BC" w:rsidP="00D008D8" w14:paraId="41AA2E9B" w14:textId="1A301571">
      <w:pPr>
        <w:bidi w:val="0"/>
        <w:rPr>
          <w:rFonts w:asciiTheme="majorHAnsi" w:hAnsiTheme="majorHAnsi" w:cstheme="majorBidi"/>
          <w:sz w:val="22"/>
          <w:szCs w:val="22"/>
          <w:lang w:eastAsia="nl-NL" w:bidi="nl-NL"/>
        </w:rPr>
      </w:pPr>
      <w:r w:rsidRPr="00D008D8">
        <w:rPr>
          <w:rFonts w:asciiTheme="majorHAnsi" w:hAnsiTheme="majorHAnsi" w:cstheme="majorBidi"/>
          <w:sz w:val="22"/>
          <w:szCs w:val="22"/>
          <w:rtl w:val="0"/>
          <w:lang w:val="es" w:eastAsia="nl-NL" w:bidi="nl-NL"/>
        </w:rPr>
        <w:t xml:space="preserve">En los proyectos de consultoría, las empresas o particulares reciben una remuneración basada en la obtención de un producto o resultado concreto, y no en el tiempo invertido. Los consultores son contratados para prestar asesoramiento estratégico o servicios especializados, y sus honorarios suelen ser fijos o por proyecto. </w:t>
      </w:r>
    </w:p>
    <w:p w:rsidR="008C25BC" w:rsidP="00D008D8" w14:paraId="3A3AA1B6" w14:textId="77777777">
      <w:pPr>
        <w:rPr>
          <w:rFonts w:asciiTheme="majorHAnsi" w:hAnsiTheme="majorHAnsi" w:cstheme="majorBidi"/>
          <w:sz w:val="22"/>
          <w:szCs w:val="22"/>
          <w:u w:val="single"/>
          <w:lang w:eastAsia="nl-NL" w:bidi="nl-NL"/>
        </w:rPr>
      </w:pPr>
    </w:p>
    <w:p w:rsidR="00C4680F" w:rsidRPr="0051357C" w:rsidP="00D008D8" w14:paraId="58A5F696" w14:textId="77777777">
      <w:pPr>
        <w:rPr>
          <w:rFonts w:asciiTheme="majorHAnsi" w:hAnsiTheme="majorHAnsi" w:cstheme="majorBidi"/>
          <w:sz w:val="22"/>
          <w:szCs w:val="22"/>
          <w:lang w:eastAsia="nl-NL" w:bidi="nl-NL"/>
        </w:rPr>
      </w:pPr>
    </w:p>
    <w:p w:rsidR="00C4680F" w:rsidRPr="0051357C" w:rsidP="00D008D8" w14:paraId="5B1C77EF" w14:textId="353F6AA4">
      <w:pPr>
        <w:bidi w:val="0"/>
        <w:rPr>
          <w:rFonts w:asciiTheme="majorHAnsi" w:hAnsiTheme="majorHAnsi" w:cstheme="majorBidi"/>
          <w:sz w:val="22"/>
          <w:szCs w:val="22"/>
          <w:u w:val="single"/>
          <w:lang w:eastAsia="nl-NL" w:bidi="nl-NL"/>
        </w:rPr>
      </w:pPr>
      <w:r w:rsidRPr="0051357C">
        <w:rPr>
          <w:rFonts w:asciiTheme="majorHAnsi" w:hAnsiTheme="majorHAnsi" w:cstheme="majorBidi"/>
          <w:sz w:val="22"/>
          <w:szCs w:val="22"/>
          <w:u w:val="single"/>
          <w:rtl w:val="0"/>
          <w:lang w:val="es" w:eastAsia="nl-NL" w:bidi="nl-NL"/>
        </w:rPr>
        <w:t>Véanse más abajo otras aclaraciones:</w:t>
      </w:r>
    </w:p>
    <w:p w:rsidR="007D6515" w:rsidRPr="0074239A" w:rsidP="00935718" w14:paraId="36157DE0" w14:textId="77777777">
      <w:pPr>
        <w:rPr>
          <w:rFonts w:asciiTheme="majorHAnsi" w:hAnsiTheme="majorHAnsi" w:cstheme="majorHAnsi"/>
          <w:sz w:val="22"/>
          <w:szCs w:val="22"/>
        </w:rPr>
      </w:pPr>
    </w:p>
    <w:tbl>
      <w:tblPr>
        <w:tblStyle w:val="TableGrid"/>
        <w:tblW w:w="0" w:type="auto"/>
        <w:tblLook w:val="04A0"/>
      </w:tblPr>
      <w:tblGrid>
        <w:gridCol w:w="1435"/>
        <w:gridCol w:w="4140"/>
        <w:gridCol w:w="4770"/>
      </w:tblGrid>
      <w:tr w14:paraId="3A7D5B6E" w14:textId="77777777" w:rsidTr="00683D29">
        <w:tblPrEx>
          <w:tblW w:w="0" w:type="auto"/>
          <w:tblLook w:val="04A0"/>
        </w:tblPrEx>
        <w:trPr>
          <w:trHeight w:val="242"/>
        </w:trPr>
        <w:tc>
          <w:tcPr>
            <w:tcW w:w="1435" w:type="dxa"/>
            <w:shd w:val="clear" w:color="auto" w:fill="BCD3EE"/>
          </w:tcPr>
          <w:p w:rsidR="006C341A" w:rsidRPr="00500682" w:rsidP="00E74EF7" w14:paraId="3FAEE1FD" w14:textId="77777777">
            <w:pPr>
              <w:bidi w:val="0"/>
              <w:jc w:val="both"/>
              <w:rPr>
                <w:rFonts w:eastAsia="Calibri" w:asciiTheme="majorHAnsi" w:hAnsiTheme="majorHAnsi" w:cstheme="majorHAnsi"/>
                <w:b/>
                <w:bCs/>
                <w:lang w:eastAsia="nl-NL" w:bidi="nl-NL"/>
              </w:rPr>
            </w:pPr>
            <w:r w:rsidRPr="00500682">
              <w:rPr>
                <w:rFonts w:eastAsia="Calibri" w:asciiTheme="majorHAnsi" w:hAnsiTheme="majorHAnsi" w:cstheme="majorHAnsi"/>
                <w:b/>
                <w:bCs/>
                <w:rtl w:val="0"/>
                <w:lang w:val="es" w:eastAsia="nl-NL" w:bidi="nl-NL"/>
              </w:rPr>
              <w:t>Criterios</w:t>
            </w:r>
          </w:p>
        </w:tc>
        <w:tc>
          <w:tcPr>
            <w:tcW w:w="4140" w:type="dxa"/>
            <w:shd w:val="clear" w:color="auto" w:fill="BCD3EE"/>
          </w:tcPr>
          <w:p w:rsidR="006C341A" w:rsidRPr="00500682" w:rsidP="00E74EF7" w14:paraId="33208FF6" w14:textId="5DD5333D">
            <w:pPr>
              <w:bidi w:val="0"/>
              <w:jc w:val="both"/>
              <w:rPr>
                <w:rFonts w:eastAsia="Calibri" w:asciiTheme="majorHAnsi" w:hAnsiTheme="majorHAnsi" w:cstheme="majorHAnsi"/>
                <w:b/>
                <w:bCs/>
                <w:lang w:eastAsia="nl-NL" w:bidi="nl-NL"/>
              </w:rPr>
            </w:pPr>
            <w:r>
              <w:rPr>
                <w:rFonts w:eastAsia="Calibri" w:asciiTheme="majorHAnsi" w:hAnsiTheme="majorHAnsi" w:cstheme="majorHAnsi"/>
                <w:b/>
                <w:bCs/>
                <w:rtl w:val="0"/>
                <w:lang w:val="es" w:eastAsia="nl-NL" w:bidi="nl-NL"/>
              </w:rPr>
              <w:t>Personal eventual (en el ámbito de aplicación)</w:t>
            </w:r>
          </w:p>
        </w:tc>
        <w:tc>
          <w:tcPr>
            <w:tcW w:w="4770" w:type="dxa"/>
            <w:shd w:val="clear" w:color="auto" w:fill="BCD3EE"/>
          </w:tcPr>
          <w:p w:rsidR="006C341A" w:rsidRPr="00500682" w:rsidP="00E74EF7" w14:paraId="033F9D2C" w14:textId="10AB35F6">
            <w:pPr>
              <w:bidi w:val="0"/>
              <w:jc w:val="both"/>
              <w:rPr>
                <w:rFonts w:eastAsia="Calibri" w:asciiTheme="majorHAnsi" w:hAnsiTheme="majorHAnsi" w:cstheme="majorHAnsi"/>
                <w:b/>
                <w:bCs/>
                <w:lang w:eastAsia="nl-NL" w:bidi="nl-NL"/>
              </w:rPr>
            </w:pPr>
            <w:r>
              <w:rPr>
                <w:rFonts w:eastAsia="Calibri" w:asciiTheme="majorHAnsi" w:hAnsiTheme="majorHAnsi" w:cstheme="majorHAnsi"/>
                <w:b/>
                <w:bCs/>
                <w:rtl w:val="0"/>
                <w:lang w:val="es" w:eastAsia="nl-NL" w:bidi="nl-NL"/>
              </w:rPr>
              <w:t>Proyectos de consultoría (fuera de alcance)</w:t>
            </w:r>
          </w:p>
        </w:tc>
      </w:tr>
      <w:tr w14:paraId="4E43D6A7" w14:textId="77777777" w:rsidTr="0051357C">
        <w:tblPrEx>
          <w:tblW w:w="0" w:type="auto"/>
          <w:tblLook w:val="04A0"/>
        </w:tblPrEx>
        <w:tc>
          <w:tcPr>
            <w:tcW w:w="1435" w:type="dxa"/>
          </w:tcPr>
          <w:p w:rsidR="006C341A" w:rsidRPr="00500682" w:rsidP="00E74EF7" w14:paraId="76295883" w14:textId="4969C2CA">
            <w:pPr>
              <w:bidi w:val="0"/>
              <w:rPr>
                <w:rFonts w:eastAsia="Calibri" w:asciiTheme="majorHAnsi" w:hAnsiTheme="majorHAnsi" w:cstheme="majorHAnsi"/>
                <w:b/>
                <w:bCs/>
                <w:lang w:eastAsia="nl-NL" w:bidi="nl-NL"/>
              </w:rPr>
            </w:pPr>
            <w:r w:rsidRPr="00500682">
              <w:rPr>
                <w:rFonts w:eastAsia="Calibri" w:asciiTheme="majorHAnsi" w:hAnsiTheme="majorHAnsi" w:cstheme="majorHAnsi"/>
                <w:b/>
                <w:bCs/>
                <w:rtl w:val="0"/>
                <w:lang w:val="es" w:eastAsia="nl-NL" w:bidi="nl-NL"/>
              </w:rPr>
              <w:t>Trabajo definido por:</w:t>
            </w:r>
          </w:p>
        </w:tc>
        <w:tc>
          <w:tcPr>
            <w:tcW w:w="4140" w:type="dxa"/>
          </w:tcPr>
          <w:p w:rsidR="006C341A" w:rsidRPr="00500682" w:rsidP="00E74EF7" w14:paraId="2B358A5C" w14:textId="1D430699">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es" w:eastAsia="nl-NL" w:bidi="nl-NL"/>
              </w:rPr>
              <w:t>Una función limitada en el tiempo, de un máximo de 12 meses, definida por una descripción del puesto.</w:t>
            </w:r>
          </w:p>
        </w:tc>
        <w:tc>
          <w:tcPr>
            <w:tcW w:w="4770" w:type="dxa"/>
          </w:tcPr>
          <w:p w:rsidR="006C341A" w:rsidRPr="00500682" w:rsidP="00E74EF7" w14:paraId="4009AD22" w14:textId="77777777">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es" w:eastAsia="nl-NL" w:bidi="nl-NL"/>
              </w:rPr>
              <w:t>Un servicio con entregas e hitos claramente definidos para actividades inferiores a 24 meses.</w:t>
            </w:r>
          </w:p>
        </w:tc>
      </w:tr>
      <w:tr w14:paraId="592EA028" w14:textId="77777777" w:rsidTr="0051357C">
        <w:tblPrEx>
          <w:tblW w:w="0" w:type="auto"/>
          <w:tblLook w:val="04A0"/>
        </w:tblPrEx>
        <w:tc>
          <w:tcPr>
            <w:tcW w:w="1435" w:type="dxa"/>
          </w:tcPr>
          <w:p w:rsidR="006C341A" w:rsidRPr="00500682" w:rsidP="00E74EF7" w14:paraId="1B8EB4B0" w14:textId="20D97503">
            <w:pPr>
              <w:bidi w:val="0"/>
              <w:rPr>
                <w:rFonts w:eastAsia="Calibri" w:asciiTheme="majorHAnsi" w:hAnsiTheme="majorHAnsi" w:cstheme="majorHAnsi"/>
                <w:b/>
                <w:bCs/>
                <w:lang w:eastAsia="nl-NL" w:bidi="nl-NL"/>
              </w:rPr>
            </w:pPr>
            <w:r w:rsidRPr="00500682">
              <w:rPr>
                <w:rFonts w:eastAsia="Calibri" w:asciiTheme="majorHAnsi" w:hAnsiTheme="majorHAnsi" w:cstheme="majorHAnsi"/>
                <w:b/>
                <w:bCs/>
                <w:rtl w:val="0"/>
                <w:lang w:val="es" w:eastAsia="nl-NL" w:bidi="nl-NL"/>
              </w:rPr>
              <w:t>Pago</w:t>
            </w:r>
          </w:p>
        </w:tc>
        <w:tc>
          <w:tcPr>
            <w:tcW w:w="4140" w:type="dxa"/>
          </w:tcPr>
          <w:p w:rsidR="006C341A" w:rsidRPr="00500682" w:rsidP="00E74EF7" w14:paraId="4CB68C9E" w14:textId="77777777">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es" w:eastAsia="nl-NL" w:bidi="nl-NL"/>
              </w:rPr>
              <w:t>Basado en tiempo y material (por ejemplo, tarifa por hora)</w:t>
            </w:r>
          </w:p>
        </w:tc>
        <w:tc>
          <w:tcPr>
            <w:tcW w:w="4770" w:type="dxa"/>
          </w:tcPr>
          <w:p w:rsidR="006C341A" w:rsidRPr="00500682" w:rsidP="00E74EF7" w14:paraId="123D6A95" w14:textId="77777777">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es" w:eastAsia="nl-NL" w:bidi="nl-NL"/>
              </w:rPr>
              <w:t>En función de la obtención y consecución de resultados e hitos</w:t>
            </w:r>
          </w:p>
        </w:tc>
      </w:tr>
      <w:tr w14:paraId="7CB2FD0C" w14:textId="77777777" w:rsidTr="0051357C">
        <w:tblPrEx>
          <w:tblW w:w="0" w:type="auto"/>
          <w:tblLook w:val="04A0"/>
        </w:tblPrEx>
        <w:tc>
          <w:tcPr>
            <w:tcW w:w="1435" w:type="dxa"/>
          </w:tcPr>
          <w:p w:rsidR="006C341A" w:rsidRPr="00500682" w:rsidP="00E74EF7" w14:paraId="6CC30A0D" w14:textId="560F9630">
            <w:pPr>
              <w:bidi w:val="0"/>
              <w:rPr>
                <w:rFonts w:eastAsia="Calibri" w:asciiTheme="majorHAnsi" w:hAnsiTheme="majorHAnsi" w:cstheme="majorHAnsi"/>
                <w:b/>
                <w:bCs/>
                <w:lang w:eastAsia="nl-NL" w:bidi="nl-NL"/>
              </w:rPr>
            </w:pPr>
            <w:r w:rsidRPr="00500682">
              <w:rPr>
                <w:rFonts w:eastAsia="Calibri" w:asciiTheme="majorHAnsi" w:hAnsiTheme="majorHAnsi" w:cstheme="majorHAnsi"/>
                <w:b/>
                <w:bCs/>
                <w:rtl w:val="0"/>
                <w:lang w:val="es" w:eastAsia="nl-NL" w:bidi="nl-NL"/>
              </w:rPr>
              <w:t>Perfiles individuales</w:t>
            </w:r>
          </w:p>
        </w:tc>
        <w:tc>
          <w:tcPr>
            <w:tcW w:w="4140" w:type="dxa"/>
          </w:tcPr>
          <w:p w:rsidR="006C341A" w:rsidRPr="00500682" w:rsidP="00E74EF7" w14:paraId="116587AA" w14:textId="25B113FE">
            <w:pPr>
              <w:bidi w:val="0"/>
              <w:jc w:val="both"/>
              <w:rPr>
                <w:rFonts w:eastAsia="Calibri" w:asciiTheme="majorHAnsi" w:hAnsiTheme="majorHAnsi" w:cstheme="majorBidi"/>
                <w:lang w:eastAsia="nl-NL" w:bidi="nl-NL"/>
              </w:rPr>
            </w:pPr>
            <w:r w:rsidRPr="31C84DF2">
              <w:rPr>
                <w:rFonts w:eastAsia="Calibri" w:asciiTheme="majorHAnsi" w:hAnsiTheme="majorHAnsi" w:cstheme="majorBidi"/>
                <w:rtl w:val="0"/>
                <w:lang w:val="es" w:eastAsia="nl-NL" w:bidi="nl-NL"/>
              </w:rPr>
              <w:t>Los perfiles individuales son determinados por Brink's, como la selección de un candidato específico.</w:t>
            </w:r>
          </w:p>
        </w:tc>
        <w:tc>
          <w:tcPr>
            <w:tcW w:w="4770" w:type="dxa"/>
          </w:tcPr>
          <w:p w:rsidR="006C341A" w:rsidRPr="00500682" w:rsidP="00E74EF7" w14:paraId="7F1250CE" w14:textId="2AC0DBC2">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es" w:eastAsia="nl-NL" w:bidi="nl-NL"/>
              </w:rPr>
              <w:t>Perfiles individuales no determinados por Brink's y seleccionados a discreción del proveedor.</w:t>
            </w:r>
          </w:p>
        </w:tc>
      </w:tr>
      <w:tr w14:paraId="0F35B81C" w14:textId="77777777" w:rsidTr="0051357C">
        <w:tblPrEx>
          <w:tblW w:w="0" w:type="auto"/>
          <w:tblLook w:val="04A0"/>
        </w:tblPrEx>
        <w:tc>
          <w:tcPr>
            <w:tcW w:w="1435" w:type="dxa"/>
          </w:tcPr>
          <w:p w:rsidR="006C341A" w:rsidRPr="00500682" w:rsidP="00E74EF7" w14:paraId="79A2AC44" w14:textId="77777777">
            <w:pPr>
              <w:bidi w:val="0"/>
              <w:rPr>
                <w:rFonts w:eastAsia="Calibri" w:asciiTheme="majorHAnsi" w:hAnsiTheme="majorHAnsi" w:cstheme="majorHAnsi"/>
                <w:b/>
                <w:bCs/>
                <w:lang w:eastAsia="nl-NL" w:bidi="nl-NL"/>
              </w:rPr>
            </w:pPr>
            <w:r w:rsidRPr="00500682">
              <w:rPr>
                <w:rFonts w:eastAsia="Calibri" w:asciiTheme="majorHAnsi" w:hAnsiTheme="majorHAnsi" w:cstheme="majorHAnsi"/>
                <w:b/>
                <w:bCs/>
                <w:rtl w:val="0"/>
                <w:lang w:val="es" w:eastAsia="nl-NL" w:bidi="nl-NL"/>
              </w:rPr>
              <w:t>Supervisión</w:t>
            </w:r>
          </w:p>
        </w:tc>
        <w:tc>
          <w:tcPr>
            <w:tcW w:w="4140" w:type="dxa"/>
          </w:tcPr>
          <w:p w:rsidR="006C341A" w:rsidRPr="00500682" w:rsidP="00E74EF7" w14:paraId="70B7B718" w14:textId="77777777">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es" w:eastAsia="nl-NL" w:bidi="nl-NL"/>
              </w:rPr>
              <w:t xml:space="preserve">Dirigido por Brink's (como el director de contratación) </w:t>
            </w:r>
          </w:p>
        </w:tc>
        <w:tc>
          <w:tcPr>
            <w:tcW w:w="4770" w:type="dxa"/>
          </w:tcPr>
          <w:p w:rsidR="006C341A" w:rsidRPr="00500682" w:rsidP="00E74EF7" w14:paraId="52F80070" w14:textId="77777777">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es" w:eastAsia="nl-NL" w:bidi="nl-NL"/>
              </w:rPr>
              <w:t>Dirigido por el proveedor (por ejemplo, el gestor de cuentas del proveedor)</w:t>
            </w:r>
          </w:p>
        </w:tc>
      </w:tr>
      <w:tr w14:paraId="23921145" w14:textId="77777777" w:rsidTr="0051357C">
        <w:tblPrEx>
          <w:tblW w:w="0" w:type="auto"/>
          <w:tblLook w:val="04A0"/>
        </w:tblPrEx>
        <w:tc>
          <w:tcPr>
            <w:tcW w:w="1435" w:type="dxa"/>
          </w:tcPr>
          <w:p w:rsidR="008E318B" w:rsidRPr="00500682" w:rsidP="00E74EF7" w14:paraId="2B2EA27D" w14:textId="6C02FB81">
            <w:pPr>
              <w:bidi w:val="0"/>
              <w:rPr>
                <w:rFonts w:eastAsia="Calibri" w:asciiTheme="majorHAnsi" w:hAnsiTheme="majorHAnsi" w:cstheme="majorHAnsi"/>
                <w:b/>
                <w:bCs/>
                <w:lang w:eastAsia="nl-NL" w:bidi="nl-NL"/>
              </w:rPr>
            </w:pPr>
            <w:r>
              <w:rPr>
                <w:rFonts w:eastAsia="Calibri" w:asciiTheme="majorHAnsi" w:hAnsiTheme="majorHAnsi" w:cstheme="majorHAnsi"/>
                <w:b/>
                <w:bCs/>
                <w:rtl w:val="0"/>
                <w:lang w:val="es" w:eastAsia="nl-NL" w:bidi="nl-NL"/>
              </w:rPr>
              <w:t>Contratación temporal</w:t>
            </w:r>
          </w:p>
        </w:tc>
        <w:tc>
          <w:tcPr>
            <w:tcW w:w="4140" w:type="dxa"/>
            <w:shd w:val="clear" w:color="auto" w:fill="auto"/>
          </w:tcPr>
          <w:p w:rsidR="008E318B" w:rsidRPr="00500682" w:rsidP="00E74EF7" w14:paraId="371C546D" w14:textId="696394CB">
            <w:pPr>
              <w:bidi w:val="0"/>
              <w:jc w:val="both"/>
              <w:rPr>
                <w:rFonts w:eastAsia="Calibri" w:asciiTheme="majorHAnsi" w:hAnsiTheme="majorHAnsi" w:cstheme="majorHAnsi"/>
                <w:lang w:eastAsia="nl-NL" w:bidi="nl-NL"/>
              </w:rPr>
            </w:pPr>
            <w:r>
              <w:rPr>
                <w:rFonts w:eastAsia="Calibri" w:asciiTheme="majorHAnsi" w:hAnsiTheme="majorHAnsi" w:cstheme="majorHAnsi"/>
                <w:rtl w:val="0"/>
                <w:lang w:val="es" w:eastAsia="nl-NL" w:bidi="nl-NL"/>
              </w:rPr>
              <w:t>Los trabajadores eventuales pueden convertirse en empleados fijos en Brink's a menos que sean autónomos.</w:t>
            </w:r>
          </w:p>
        </w:tc>
        <w:tc>
          <w:tcPr>
            <w:tcW w:w="4770" w:type="dxa"/>
          </w:tcPr>
          <w:p w:rsidR="008E318B" w:rsidRPr="00500682" w:rsidP="00E74EF7" w14:paraId="54DFAA38" w14:textId="0A3766F2">
            <w:pPr>
              <w:bidi w:val="0"/>
              <w:jc w:val="both"/>
              <w:rPr>
                <w:rFonts w:eastAsia="Calibri" w:asciiTheme="majorHAnsi" w:hAnsiTheme="majorHAnsi" w:cstheme="majorHAnsi"/>
                <w:lang w:eastAsia="nl-NL" w:bidi="nl-NL"/>
              </w:rPr>
            </w:pPr>
            <w:r w:rsidRPr="006B13F0">
              <w:rPr>
                <w:rFonts w:eastAsia="Calibri" w:asciiTheme="majorHAnsi" w:hAnsiTheme="majorHAnsi" w:cstheme="majorHAnsi"/>
                <w:rtl w:val="0"/>
                <w:lang w:val="es" w:eastAsia="nl-NL" w:bidi="nl-NL"/>
              </w:rPr>
              <w:t>Brinks no puede contratar consultores de forma permanente a menos que estén dispuestos a cambiar de empleador, y esto no está prohibido contractualmente.</w:t>
            </w:r>
          </w:p>
        </w:tc>
      </w:tr>
      <w:tr w14:paraId="50D49A2F" w14:textId="77777777" w:rsidTr="0051357C">
        <w:tblPrEx>
          <w:tblW w:w="0" w:type="auto"/>
          <w:tblLook w:val="04A0"/>
        </w:tblPrEx>
        <w:tc>
          <w:tcPr>
            <w:tcW w:w="1435" w:type="dxa"/>
          </w:tcPr>
          <w:p w:rsidR="006C341A" w:rsidRPr="00500682" w:rsidP="00E74EF7" w14:paraId="1AE4C179" w14:textId="77777777">
            <w:pPr>
              <w:bidi w:val="0"/>
              <w:rPr>
                <w:rFonts w:eastAsia="Calibri" w:asciiTheme="majorHAnsi" w:hAnsiTheme="majorHAnsi" w:cstheme="majorHAnsi"/>
                <w:b/>
                <w:bCs/>
                <w:lang w:eastAsia="nl-NL" w:bidi="nl-NL"/>
              </w:rPr>
            </w:pPr>
            <w:r w:rsidRPr="00500682">
              <w:rPr>
                <w:rFonts w:eastAsia="Calibri" w:asciiTheme="majorHAnsi" w:hAnsiTheme="majorHAnsi" w:cstheme="majorHAnsi"/>
                <w:b/>
                <w:bCs/>
                <w:rtl w:val="0"/>
                <w:lang w:val="es" w:eastAsia="nl-NL" w:bidi="nl-NL"/>
              </w:rPr>
              <w:t>Responsabilidad</w:t>
            </w:r>
          </w:p>
        </w:tc>
        <w:tc>
          <w:tcPr>
            <w:tcW w:w="4140" w:type="dxa"/>
            <w:shd w:val="clear" w:color="auto" w:fill="auto"/>
          </w:tcPr>
          <w:p w:rsidR="006C341A" w:rsidRPr="00500682" w:rsidP="00E74EF7" w14:paraId="54DEF461" w14:textId="43BDDE7D">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es" w:eastAsia="nl-NL" w:bidi="nl-NL"/>
              </w:rPr>
              <w:t>Caídas sobre Brink's (Brink's es responsable de la entrega y la calidad del resultado)</w:t>
            </w:r>
          </w:p>
        </w:tc>
        <w:tc>
          <w:tcPr>
            <w:tcW w:w="4770" w:type="dxa"/>
          </w:tcPr>
          <w:p w:rsidR="006C341A" w:rsidRPr="00500682" w:rsidP="00E74EF7" w14:paraId="08521AA3" w14:textId="77777777">
            <w:pPr>
              <w:bidi w:val="0"/>
              <w:jc w:val="both"/>
              <w:rPr>
                <w:rFonts w:eastAsia="Calibri" w:asciiTheme="majorHAnsi" w:hAnsiTheme="majorHAnsi" w:cstheme="majorHAnsi"/>
                <w:lang w:eastAsia="nl-NL" w:bidi="nl-NL"/>
              </w:rPr>
            </w:pPr>
            <w:r w:rsidRPr="00500682">
              <w:rPr>
                <w:rFonts w:eastAsia="Calibri" w:asciiTheme="majorHAnsi" w:hAnsiTheme="majorHAnsi" w:cstheme="majorHAnsi"/>
                <w:rtl w:val="0"/>
                <w:lang w:val="es" w:eastAsia="nl-NL" w:bidi="nl-NL"/>
              </w:rPr>
              <w:t>recae en el proveedor (Brink's no es responsable de la entrega y la calidad del resultado)</w:t>
            </w:r>
          </w:p>
        </w:tc>
      </w:tr>
      <w:tr w14:paraId="0259691B" w14:textId="77777777" w:rsidTr="0051357C">
        <w:tblPrEx>
          <w:tblW w:w="0" w:type="auto"/>
          <w:tblLook w:val="04A0"/>
        </w:tblPrEx>
        <w:tc>
          <w:tcPr>
            <w:tcW w:w="1435" w:type="dxa"/>
          </w:tcPr>
          <w:p w:rsidR="006C341A" w:rsidRPr="00500682" w:rsidP="00E74EF7" w14:paraId="072BD50B" w14:textId="77777777">
            <w:pPr>
              <w:bidi w:val="0"/>
              <w:rPr>
                <w:rFonts w:eastAsia="Calibri" w:asciiTheme="majorHAnsi" w:hAnsiTheme="majorHAnsi" w:cstheme="majorHAnsi"/>
                <w:b/>
                <w:bCs/>
                <w:lang w:eastAsia="nl-NL" w:bidi="nl-NL"/>
              </w:rPr>
            </w:pPr>
            <w:r w:rsidRPr="00500682">
              <w:rPr>
                <w:rFonts w:eastAsia="Calibri" w:asciiTheme="majorHAnsi" w:hAnsiTheme="majorHAnsi" w:cstheme="majorHAnsi"/>
                <w:b/>
                <w:bCs/>
                <w:rtl w:val="0"/>
                <w:lang w:val="es" w:eastAsia="nl-NL" w:bidi="nl-NL"/>
              </w:rPr>
              <w:t>Ejemplos</w:t>
            </w:r>
          </w:p>
        </w:tc>
        <w:tc>
          <w:tcPr>
            <w:tcW w:w="4140" w:type="dxa"/>
          </w:tcPr>
          <w:p w:rsidR="006C341A" w:rsidRPr="00500682" w:rsidP="00E74EF7" w14:paraId="3798C3EA" w14:textId="2C5023BD">
            <w:pPr>
              <w:bidi w:val="0"/>
              <w:jc w:val="both"/>
              <w:rPr>
                <w:rFonts w:eastAsia="Calibri" w:asciiTheme="majorHAnsi" w:hAnsiTheme="majorHAnsi" w:cstheme="majorHAnsi"/>
                <w:lang w:eastAsia="nl-NL" w:bidi="nl-NL"/>
              </w:rPr>
            </w:pPr>
            <w:r w:rsidRPr="0074239A">
              <w:rPr>
                <w:rFonts w:eastAsia="Calibri" w:asciiTheme="majorHAnsi" w:hAnsiTheme="majorHAnsi" w:cstheme="majorHAnsi"/>
                <w:rtl w:val="0"/>
                <w:lang w:val="es" w:eastAsia="nl-NL" w:bidi="nl-NL"/>
              </w:rPr>
              <w:t xml:space="preserve">Brink's está contratando a un desarrollador web pagado por horas bajo la supervisión directa del responsable de contratación durante 5 meses. El trabajador no es responsable de la calidad de su trabajo. Dado que este trabajador está bajo la supervisión directa de un directivo de Brink's, Brink's sigue siendo propietaria de la Propiedad Intelectual, pero también responsable de la calidad del trabajo. </w:t>
            </w:r>
          </w:p>
        </w:tc>
        <w:tc>
          <w:tcPr>
            <w:tcW w:w="4770" w:type="dxa"/>
          </w:tcPr>
          <w:p w:rsidR="006C341A" w:rsidP="00E74EF7" w14:paraId="3C3BB4E5" w14:textId="533B1C83">
            <w:pPr>
              <w:bidi w:val="0"/>
              <w:jc w:val="both"/>
              <w:rPr>
                <w:rFonts w:eastAsia="Calibri" w:asciiTheme="majorHAnsi" w:hAnsiTheme="majorHAnsi" w:cstheme="majorBidi"/>
                <w:lang w:eastAsia="nl-NL" w:bidi="nl-NL"/>
              </w:rPr>
            </w:pPr>
            <w:r w:rsidRPr="31C84DF2">
              <w:rPr>
                <w:rFonts w:eastAsia="Calibri" w:asciiTheme="majorHAnsi" w:hAnsiTheme="majorHAnsi" w:cstheme="majorBidi"/>
                <w:rtl w:val="0"/>
                <w:lang w:val="es" w:eastAsia="nl-NL" w:bidi="nl-NL"/>
              </w:rPr>
              <w:t xml:space="preserve">Una empresa contratada para entregar un sitio web para Brink's en el plazo de un año. Las especificaciones están claramente definidas para el sitio web (como contenido, UX o SEO). El pago se efectúa una vez completados los hitos con resultados específicos. </w:t>
            </w:r>
          </w:p>
          <w:p w:rsidR="008E318B" w:rsidP="00E74EF7" w14:paraId="26A1B438" w14:textId="77777777">
            <w:pPr>
              <w:jc w:val="both"/>
              <w:rPr>
                <w:rFonts w:eastAsia="Calibri" w:asciiTheme="majorHAnsi" w:hAnsiTheme="majorHAnsi" w:cstheme="majorHAnsi"/>
                <w:lang w:eastAsia="nl-NL" w:bidi="nl-NL"/>
              </w:rPr>
            </w:pPr>
          </w:p>
          <w:p w:rsidR="008E318B" w:rsidRPr="00500682" w:rsidP="00E74EF7" w14:paraId="7AA0B555" w14:textId="77777777">
            <w:pPr>
              <w:jc w:val="both"/>
              <w:rPr>
                <w:rFonts w:eastAsia="Calibri" w:asciiTheme="majorHAnsi" w:hAnsiTheme="majorHAnsi" w:cstheme="majorHAnsi"/>
                <w:lang w:eastAsia="nl-NL" w:bidi="nl-NL"/>
              </w:rPr>
            </w:pPr>
          </w:p>
        </w:tc>
      </w:tr>
    </w:tbl>
    <w:p w:rsidR="006C341A" w:rsidP="006C341A" w14:paraId="00A5E1B2" w14:textId="784400DC">
      <w:pPr>
        <w:bidi w:val="0"/>
        <w:jc w:val="both"/>
        <w:rPr>
          <w:rFonts w:eastAsia="Calibri" w:asciiTheme="majorHAnsi" w:hAnsiTheme="majorHAnsi" w:cstheme="majorHAnsi"/>
          <w:i/>
          <w:iCs/>
          <w:sz w:val="22"/>
          <w:szCs w:val="22"/>
          <w:lang w:eastAsia="nl-NL" w:bidi="nl-NL"/>
        </w:rPr>
      </w:pPr>
      <w:r w:rsidRPr="00500682">
        <w:rPr>
          <w:rFonts w:eastAsia="Calibri" w:asciiTheme="majorHAnsi" w:hAnsiTheme="majorHAnsi" w:cstheme="majorHAnsi"/>
          <w:i/>
          <w:iCs/>
          <w:sz w:val="22"/>
          <w:szCs w:val="22"/>
          <w:rtl w:val="0"/>
          <w:lang w:val="es" w:eastAsia="nl-NL" w:bidi="nl-NL"/>
        </w:rPr>
        <w:t>* Podría darse una situación específica en la que una persona recibiera una remuneración basada tanto en la cantidad de tiempo y material trabajado como en la obtención de al menos un resultado. En este caso, los recursos respectivos se tratarán como trabajadores eventuales (dentro del ámbito de aplicación) a menos que el socio local de RR.HH. conceda una aprobación excepcional.</w:t>
      </w:r>
    </w:p>
    <w:p w:rsidR="006C341A" w:rsidRPr="0074239A" w:rsidP="006C341A" w14:paraId="76D00981" w14:textId="77777777">
      <w:pPr>
        <w:jc w:val="both"/>
        <w:rPr>
          <w:rFonts w:eastAsia="Calibri" w:asciiTheme="majorHAnsi" w:hAnsiTheme="majorHAnsi" w:cstheme="majorHAnsi"/>
          <w:b/>
          <w:bCs/>
          <w:sz w:val="22"/>
          <w:szCs w:val="22"/>
          <w:lang w:eastAsia="nl-NL" w:bidi="nl-NL"/>
        </w:rPr>
      </w:pPr>
      <w:bookmarkStart w:id="16" w:name="_Toc64992947"/>
    </w:p>
    <w:bookmarkEnd w:id="16"/>
    <w:p w:rsidR="00005666" w:rsidP="00005666" w14:paraId="1BFF01C5" w14:textId="77777777">
      <w:pPr>
        <w:bidi w:val="0"/>
        <w:spacing w:line="259" w:lineRule="auto"/>
        <w:jc w:val="both"/>
        <w:rPr>
          <w:rFonts w:asciiTheme="majorHAnsi" w:hAnsiTheme="majorHAnsi" w:cstheme="majorBidi"/>
          <w:b/>
          <w:bCs/>
          <w:sz w:val="22"/>
          <w:szCs w:val="22"/>
          <w:lang w:eastAsia="nl-NL" w:bidi="nl-NL"/>
        </w:rPr>
      </w:pPr>
      <w:r w:rsidRPr="0051357C">
        <w:rPr>
          <w:rFonts w:asciiTheme="majorHAnsi" w:hAnsiTheme="majorHAnsi" w:cstheme="majorBidi"/>
          <w:b/>
          <w:bCs/>
          <w:sz w:val="22"/>
          <w:szCs w:val="22"/>
          <w:rtl w:val="0"/>
          <w:lang w:val="es" w:eastAsia="nl-NL" w:bidi="nl-NL"/>
        </w:rPr>
        <w:t>Para los servicios de consultoría, consulte la Política Global de Servicios Profesionales.</w:t>
      </w:r>
    </w:p>
    <w:p w:rsidR="004E6945" w:rsidRPr="00852C02" w:rsidP="00005666" w14:paraId="48C13321" w14:textId="3666ACC6">
      <w:pPr>
        <w:pStyle w:val="Heading1"/>
        <w:bidi w:val="0"/>
        <w:rPr>
          <w:rFonts w:eastAsia="Calibri"/>
          <w:color w:val="auto"/>
          <w:lang w:eastAsia="nl-NL" w:bidi="nl-NL"/>
        </w:rPr>
      </w:pPr>
      <w:bookmarkStart w:id="17" w:name="_Toc256000012"/>
      <w:r w:rsidRPr="00852C02">
        <w:rPr>
          <w:color w:val="auto"/>
          <w:rtl w:val="0"/>
          <w:lang w:val="es"/>
        </w:rPr>
        <w:t>NORMAS PARA LA CONTRATACIÓN DE TRABAJADORES EVENTUALES</w:t>
      </w:r>
      <w:bookmarkEnd w:id="17"/>
    </w:p>
    <w:p w:rsidR="003A6BF9" w:rsidRPr="00D91457" w:rsidP="0051357C" w14:paraId="79464173" w14:textId="43BEC508">
      <w:pPr>
        <w:pStyle w:val="Heading2"/>
        <w:bidi w:val="0"/>
        <w:ind w:left="360"/>
        <w:rPr>
          <w:sz w:val="22"/>
          <w:szCs w:val="22"/>
        </w:rPr>
      </w:pPr>
      <w:bookmarkStart w:id="18" w:name="_Toc256000013"/>
      <w:r w:rsidRPr="3766A6B7">
        <w:rPr>
          <w:color w:val="auto"/>
          <w:sz w:val="22"/>
          <w:szCs w:val="22"/>
          <w:rtl w:val="0"/>
          <w:lang w:val="es"/>
        </w:rPr>
        <w:t>Proceso general de toma de decisiones</w:t>
      </w:r>
      <w:bookmarkEnd w:id="18"/>
      <w:bookmarkStart w:id="19" w:name="_Toc179490785"/>
      <w:bookmarkStart w:id="20" w:name="_Toc179490891"/>
      <w:bookmarkStart w:id="21" w:name="_Toc179490963"/>
      <w:bookmarkStart w:id="22" w:name="_Toc179491278"/>
      <w:bookmarkStart w:id="23" w:name="_Toc179491319"/>
      <w:bookmarkStart w:id="24" w:name="_Toc179492945"/>
      <w:bookmarkStart w:id="25" w:name="_Toc179490892"/>
      <w:bookmarkStart w:id="26" w:name="_Toc179491320"/>
      <w:bookmarkStart w:id="27" w:name="_Toc179492946"/>
      <w:bookmarkEnd w:id="19"/>
      <w:bookmarkEnd w:id="20"/>
      <w:bookmarkEnd w:id="21"/>
      <w:bookmarkEnd w:id="22"/>
      <w:bookmarkEnd w:id="23"/>
      <w:bookmarkEnd w:id="24"/>
      <w:bookmarkEnd w:id="25"/>
      <w:bookmarkEnd w:id="26"/>
      <w:bookmarkEnd w:id="27"/>
    </w:p>
    <w:p w:rsidR="009872EC" w:rsidP="003A6BF9" w14:paraId="3EEAE3FB" w14:textId="54D4FF06">
      <w:pPr>
        <w:bidi w:val="0"/>
        <w:rPr>
          <w:rFonts w:asciiTheme="majorHAnsi" w:hAnsiTheme="majorHAnsi" w:cstheme="majorBidi"/>
          <w:sz w:val="22"/>
          <w:szCs w:val="22"/>
        </w:rPr>
      </w:pPr>
      <w:r w:rsidRPr="0051357C">
        <w:rPr>
          <w:rFonts w:asciiTheme="majorHAnsi" w:hAnsiTheme="majorHAnsi" w:cstheme="majorBidi"/>
          <w:sz w:val="22"/>
          <w:szCs w:val="22"/>
          <w:rtl w:val="0"/>
          <w:lang w:val="es"/>
        </w:rPr>
        <w:t>El proceso de toma de decisiones que figura a continuación se utiliza cuando se identifica la necesidad de un Trabajador Contingente:</w:t>
      </w:r>
    </w:p>
    <w:p w:rsidR="003A3A91" w:rsidP="003A6BF9" w14:paraId="2F23029A" w14:textId="0A35833C">
      <w:pPr>
        <w:rPr>
          <w:rFonts w:asciiTheme="majorHAnsi" w:hAnsiTheme="majorHAnsi" w:cstheme="majorBidi"/>
          <w:sz w:val="22"/>
          <w:szCs w:val="22"/>
        </w:rPr>
      </w:pPr>
      <w:r w:rsidRPr="00134918">
        <w:rPr>
          <w:rFonts w:asciiTheme="majorHAnsi" w:hAnsiTheme="majorHAnsi" w:cstheme="majorBidi"/>
          <w:noProof/>
          <w:sz w:val="22"/>
          <w:szCs w:val="22"/>
        </w:rPr>
        <w:drawing>
          <wp:anchor distT="0" distB="0" distL="114300" distR="114300" simplePos="0" relativeHeight="251658240" behindDoc="0" locked="0" layoutInCell="1" allowOverlap="1">
            <wp:simplePos x="0" y="0"/>
            <wp:positionH relativeFrom="margin">
              <wp:align>center</wp:align>
            </wp:positionH>
            <wp:positionV relativeFrom="paragraph">
              <wp:posOffset>193040</wp:posOffset>
            </wp:positionV>
            <wp:extent cx="6332855" cy="3644900"/>
            <wp:effectExtent l="0" t="0" r="0" b="0"/>
            <wp:wrapTopAndBottom/>
            <wp:docPr id="702144835"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96347" name="Picture 1" descr="A diagram of a company&#10;&#10;Description automatically generated"/>
                    <pic:cNvPicPr/>
                  </pic:nvPicPr>
                  <pic:blipFill>
                    <a:blip xmlns:r="http://schemas.openxmlformats.org/officeDocument/2006/relationships" r:embed="rId8"/>
                    <a:stretch>
                      <a:fillRect/>
                    </a:stretch>
                  </pic:blipFill>
                  <pic:spPr>
                    <a:xfrm>
                      <a:off x="0" y="0"/>
                      <a:ext cx="6332855" cy="3644900"/>
                    </a:xfrm>
                    <a:prstGeom prst="rect">
                      <a:avLst/>
                    </a:prstGeom>
                  </pic:spPr>
                </pic:pic>
              </a:graphicData>
            </a:graphic>
            <wp14:sizeRelH relativeFrom="margin">
              <wp14:pctWidth>0</wp14:pctWidth>
            </wp14:sizeRelH>
            <wp14:sizeRelV relativeFrom="margin">
              <wp14:pctHeight>0</wp14:pctHeight>
            </wp14:sizeRelV>
          </wp:anchor>
        </w:drawing>
      </w:r>
    </w:p>
    <w:p w:rsidR="009872EC" w:rsidP="009872EC" w14:paraId="219FCB6D" w14:textId="545292BB"/>
    <w:p w:rsidR="009872EC" w:rsidRPr="0051357C" w:rsidP="0051357C" w14:paraId="261D3E7C" w14:textId="77777777"/>
    <w:p w:rsidR="002D03F2" w:rsidP="002D03F2" w14:paraId="783A7951" w14:textId="3C628143">
      <w:pPr>
        <w:pStyle w:val="Heading2"/>
        <w:bidi w:val="0"/>
        <w:ind w:left="360"/>
        <w:rPr>
          <w:color w:val="auto"/>
          <w:sz w:val="22"/>
          <w:szCs w:val="22"/>
        </w:rPr>
      </w:pPr>
      <w:bookmarkStart w:id="28" w:name="_Toc256000014"/>
      <w:r w:rsidRPr="0051357C">
        <w:rPr>
          <w:color w:val="auto"/>
          <w:sz w:val="22"/>
          <w:szCs w:val="22"/>
          <w:rtl w:val="0"/>
          <w:lang w:val="es"/>
        </w:rPr>
        <w:t>Lista mundial de proveedores preferentes</w:t>
      </w:r>
      <w:bookmarkEnd w:id="28"/>
    </w:p>
    <w:p w:rsidR="002D03F2" w:rsidRPr="0051357C" w:rsidP="0051357C" w14:paraId="4B14034A" w14:textId="45E5A4C6"/>
    <w:p w:rsidR="002D03F2" w:rsidRPr="0074239A" w:rsidP="002D03F2" w14:paraId="515A07E4" w14:textId="1608A89F">
      <w:pPr>
        <w:bidi w:val="0"/>
        <w:ind w:left="360"/>
        <w:rPr>
          <w:rFonts w:eastAsia="SimHei" w:asciiTheme="majorHAnsi" w:hAnsiTheme="majorHAnsi" w:cstheme="majorBidi"/>
          <w:sz w:val="22"/>
          <w:szCs w:val="22"/>
        </w:rPr>
      </w:pPr>
      <w:r w:rsidRPr="3766A6B7">
        <w:rPr>
          <w:rFonts w:eastAsia="SimHei" w:asciiTheme="majorHAnsi" w:hAnsiTheme="majorHAnsi" w:cstheme="majorBidi"/>
          <w:sz w:val="22"/>
          <w:szCs w:val="22"/>
          <w:rtl w:val="0"/>
          <w:lang w:val="es"/>
        </w:rPr>
        <w:t xml:space="preserve">A partir del </w:t>
      </w:r>
      <w:r w:rsidRPr="0051357C">
        <w:rPr>
          <w:rFonts w:eastAsia="SimHei" w:asciiTheme="majorHAnsi" w:hAnsiTheme="majorHAnsi" w:cstheme="majorBidi"/>
          <w:sz w:val="22"/>
          <w:szCs w:val="22"/>
          <w:vertAlign w:val="superscript"/>
          <w:rtl w:val="0"/>
          <w:lang w:val="es"/>
        </w:rPr>
        <w:t>1 de</w:t>
      </w:r>
      <w:r w:rsidRPr="3766A6B7">
        <w:rPr>
          <w:rFonts w:eastAsia="SimHei" w:asciiTheme="majorHAnsi" w:hAnsiTheme="majorHAnsi" w:cstheme="majorBidi"/>
          <w:sz w:val="22"/>
          <w:szCs w:val="22"/>
          <w:rtl w:val="0"/>
          <w:lang w:val="es"/>
        </w:rPr>
        <w:t xml:space="preserve"> noviembre de 2024, Brink's cuenta con dos proveedores globales preferentes: Robert Half y Adecco. Se dará prioridad a estos proveedores para todas las necesidades de trabajadores eventuales. </w:t>
      </w:r>
    </w:p>
    <w:p w:rsidR="002D03F2" w:rsidRPr="0074239A" w:rsidP="002D03F2" w14:paraId="05ED95F7" w14:textId="77777777">
      <w:pPr>
        <w:rPr>
          <w:rFonts w:eastAsia="SimHei" w:asciiTheme="majorHAnsi" w:hAnsiTheme="majorHAnsi" w:cstheme="majorBidi"/>
          <w:sz w:val="22"/>
          <w:szCs w:val="22"/>
        </w:rPr>
      </w:pPr>
    </w:p>
    <w:tbl>
      <w:tblPr>
        <w:tblW w:w="10142" w:type="dxa"/>
        <w:tblInd w:w="113" w:type="dxa"/>
        <w:tblLook w:val="04A0"/>
      </w:tblPr>
      <w:tblGrid>
        <w:gridCol w:w="400"/>
        <w:gridCol w:w="2925"/>
        <w:gridCol w:w="3397"/>
        <w:gridCol w:w="3420"/>
      </w:tblGrid>
      <w:tr w14:paraId="22937E75" w14:textId="77777777" w:rsidTr="6B3824FD">
        <w:tblPrEx>
          <w:tblW w:w="10142" w:type="dxa"/>
          <w:tblInd w:w="113" w:type="dxa"/>
          <w:tblLook w:val="04A0"/>
        </w:tblPrEx>
        <w:trPr>
          <w:trHeight w:val="310"/>
        </w:trPr>
        <w:tc>
          <w:tcPr>
            <w:tcW w:w="400" w:type="dxa"/>
            <w:tcBorders>
              <w:top w:val="single" w:sz="4" w:space="0" w:color="auto"/>
              <w:left w:val="single" w:sz="4" w:space="0" w:color="auto"/>
              <w:bottom w:val="single" w:sz="4" w:space="0" w:color="auto"/>
              <w:right w:val="single" w:sz="4" w:space="0" w:color="auto"/>
            </w:tcBorders>
            <w:shd w:val="clear" w:color="auto" w:fill="BCD3EE"/>
            <w:noWrap/>
            <w:vAlign w:val="bottom"/>
            <w:hideMark/>
          </w:tcPr>
          <w:p w:rsidR="002D03F2" w:rsidRPr="00D030C9" w:rsidP="00E74EF7" w14:paraId="069ED9EF" w14:textId="77777777">
            <w:pPr>
              <w:bidi w:val="0"/>
              <w:jc w:val="center"/>
              <w:rPr>
                <w:rFonts w:asciiTheme="majorHAnsi" w:hAnsiTheme="majorHAnsi" w:cstheme="majorBidi"/>
                <w:b/>
                <w:sz w:val="22"/>
                <w:szCs w:val="22"/>
              </w:rPr>
            </w:pPr>
            <w:r w:rsidRPr="00D030C9">
              <w:rPr>
                <w:rFonts w:asciiTheme="majorHAnsi" w:hAnsiTheme="majorHAnsi" w:cstheme="majorBidi"/>
                <w:b/>
                <w:sz w:val="22"/>
                <w:szCs w:val="22"/>
                <w:rtl w:val="0"/>
                <w:lang w:val="es"/>
              </w:rPr>
              <w:t>#</w:t>
            </w:r>
          </w:p>
        </w:tc>
        <w:tc>
          <w:tcPr>
            <w:tcW w:w="2925" w:type="dxa"/>
            <w:tcBorders>
              <w:top w:val="single" w:sz="4" w:space="0" w:color="auto"/>
              <w:left w:val="nil"/>
              <w:bottom w:val="single" w:sz="4" w:space="0" w:color="auto"/>
              <w:right w:val="single" w:sz="4" w:space="0" w:color="auto"/>
            </w:tcBorders>
            <w:shd w:val="clear" w:color="auto" w:fill="BCD3EE"/>
            <w:noWrap/>
            <w:vAlign w:val="bottom"/>
            <w:hideMark/>
          </w:tcPr>
          <w:p w:rsidR="002D03F2" w:rsidRPr="00D030C9" w:rsidP="00E74EF7" w14:paraId="171B57F4" w14:textId="77777777">
            <w:pPr>
              <w:bidi w:val="0"/>
              <w:jc w:val="center"/>
              <w:rPr>
                <w:rFonts w:asciiTheme="majorHAnsi" w:hAnsiTheme="majorHAnsi" w:cstheme="majorBidi"/>
                <w:b/>
                <w:sz w:val="22"/>
                <w:szCs w:val="22"/>
              </w:rPr>
            </w:pPr>
            <w:r w:rsidRPr="00D030C9">
              <w:rPr>
                <w:rFonts w:asciiTheme="majorHAnsi" w:hAnsiTheme="majorHAnsi" w:cstheme="majorBidi"/>
                <w:b/>
                <w:sz w:val="22"/>
                <w:szCs w:val="22"/>
                <w:rtl w:val="0"/>
                <w:lang w:val="es"/>
              </w:rPr>
              <w:t>Nombre del proveedor</w:t>
            </w:r>
          </w:p>
        </w:tc>
        <w:tc>
          <w:tcPr>
            <w:tcW w:w="3397" w:type="dxa"/>
            <w:tcBorders>
              <w:top w:val="single" w:sz="4" w:space="0" w:color="auto"/>
              <w:left w:val="nil"/>
              <w:bottom w:val="single" w:sz="4" w:space="0" w:color="auto"/>
              <w:right w:val="single" w:sz="4" w:space="0" w:color="auto"/>
            </w:tcBorders>
            <w:shd w:val="clear" w:color="auto" w:fill="BCD3EE"/>
            <w:noWrap/>
            <w:vAlign w:val="bottom"/>
            <w:hideMark/>
          </w:tcPr>
          <w:p w:rsidR="002D03F2" w:rsidRPr="00D030C9" w:rsidP="00E74EF7" w14:paraId="0F09F2FA" w14:textId="77777777">
            <w:pPr>
              <w:bidi w:val="0"/>
              <w:jc w:val="center"/>
              <w:rPr>
                <w:rFonts w:asciiTheme="majorHAnsi" w:hAnsiTheme="majorHAnsi" w:cstheme="majorBidi"/>
                <w:b/>
                <w:sz w:val="22"/>
                <w:szCs w:val="22"/>
              </w:rPr>
            </w:pPr>
            <w:r w:rsidRPr="00D030C9">
              <w:rPr>
                <w:rFonts w:asciiTheme="majorHAnsi" w:hAnsiTheme="majorHAnsi" w:cstheme="majorBidi"/>
                <w:b/>
                <w:sz w:val="22"/>
                <w:szCs w:val="22"/>
                <w:rtl w:val="0"/>
                <w:lang w:val="es"/>
              </w:rPr>
              <w:t>Nombre POC</w:t>
            </w:r>
          </w:p>
        </w:tc>
        <w:tc>
          <w:tcPr>
            <w:tcW w:w="3420" w:type="dxa"/>
            <w:tcBorders>
              <w:top w:val="single" w:sz="4" w:space="0" w:color="auto"/>
              <w:left w:val="nil"/>
              <w:bottom w:val="single" w:sz="4" w:space="0" w:color="auto"/>
              <w:right w:val="single" w:sz="4" w:space="0" w:color="auto"/>
            </w:tcBorders>
            <w:shd w:val="clear" w:color="auto" w:fill="BCD3EE"/>
            <w:noWrap/>
            <w:vAlign w:val="bottom"/>
            <w:hideMark/>
          </w:tcPr>
          <w:p w:rsidR="002D03F2" w:rsidRPr="00D030C9" w:rsidP="00E74EF7" w14:paraId="0BBB114D" w14:textId="77777777">
            <w:pPr>
              <w:bidi w:val="0"/>
              <w:jc w:val="center"/>
              <w:rPr>
                <w:rFonts w:asciiTheme="majorHAnsi" w:hAnsiTheme="majorHAnsi" w:cstheme="majorBidi"/>
                <w:b/>
                <w:sz w:val="22"/>
                <w:szCs w:val="22"/>
              </w:rPr>
            </w:pPr>
            <w:r w:rsidRPr="00D030C9">
              <w:rPr>
                <w:rFonts w:asciiTheme="majorHAnsi" w:hAnsiTheme="majorHAnsi" w:cstheme="majorBidi"/>
                <w:b/>
                <w:sz w:val="22"/>
                <w:szCs w:val="22"/>
                <w:rtl w:val="0"/>
                <w:lang w:val="es"/>
              </w:rPr>
              <w:t>Correo electrónico POC</w:t>
            </w:r>
          </w:p>
        </w:tc>
      </w:tr>
      <w:tr w14:paraId="31D69D5C" w14:textId="77777777" w:rsidTr="6B3824FD">
        <w:tblPrEx>
          <w:tblW w:w="10142" w:type="dxa"/>
          <w:tblInd w:w="113" w:type="dxa"/>
          <w:tblLook w:val="04A0"/>
        </w:tblPrEx>
        <w:trPr>
          <w:trHeight w:val="31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2D03F2" w:rsidRPr="0074239A" w:rsidP="00E74EF7" w14:paraId="0F670CEC" w14:textId="77777777">
            <w:pPr>
              <w:bidi w:val="0"/>
              <w:jc w:val="center"/>
              <w:rPr>
                <w:rFonts w:asciiTheme="majorHAnsi" w:hAnsiTheme="majorHAnsi" w:cstheme="majorBidi"/>
                <w:color w:val="000000"/>
                <w:sz w:val="22"/>
                <w:szCs w:val="22"/>
              </w:rPr>
            </w:pPr>
            <w:r w:rsidRPr="3766A6B7">
              <w:rPr>
                <w:rFonts w:asciiTheme="majorHAnsi" w:hAnsiTheme="majorHAnsi" w:cstheme="majorBidi"/>
                <w:color w:val="000000" w:themeColor="text1"/>
                <w:sz w:val="22"/>
                <w:szCs w:val="22"/>
                <w:rtl w:val="0"/>
                <w:lang w:val="es"/>
              </w:rPr>
              <w:t>1</w:t>
            </w:r>
          </w:p>
        </w:tc>
        <w:tc>
          <w:tcPr>
            <w:tcW w:w="2925" w:type="dxa"/>
            <w:tcBorders>
              <w:top w:val="nil"/>
              <w:left w:val="nil"/>
              <w:bottom w:val="single" w:sz="4" w:space="0" w:color="auto"/>
              <w:right w:val="single" w:sz="4" w:space="0" w:color="auto"/>
            </w:tcBorders>
            <w:shd w:val="clear" w:color="auto" w:fill="auto"/>
            <w:noWrap/>
            <w:vAlign w:val="bottom"/>
            <w:hideMark/>
          </w:tcPr>
          <w:p w:rsidR="002D03F2" w:rsidRPr="0074239A" w:rsidP="00E74EF7" w14:paraId="7F6778F8" w14:textId="6EDF7CA3">
            <w:pPr>
              <w:bidi w:val="0"/>
              <w:jc w:val="center"/>
              <w:rPr>
                <w:rFonts w:asciiTheme="majorHAnsi" w:hAnsiTheme="majorHAnsi" w:cstheme="majorBidi"/>
                <w:color w:val="000000"/>
                <w:sz w:val="22"/>
                <w:szCs w:val="22"/>
              </w:rPr>
            </w:pPr>
            <w:r w:rsidRPr="3766A6B7">
              <w:rPr>
                <w:rFonts w:asciiTheme="majorHAnsi" w:hAnsiTheme="majorHAnsi" w:cstheme="majorBidi"/>
                <w:color w:val="000000" w:themeColor="text1"/>
                <w:sz w:val="22"/>
                <w:szCs w:val="22"/>
                <w:rtl w:val="0"/>
                <w:lang w:val="es"/>
              </w:rPr>
              <w:t>Grupo Adecco</w:t>
            </w:r>
          </w:p>
        </w:tc>
        <w:tc>
          <w:tcPr>
            <w:tcW w:w="3397" w:type="dxa"/>
            <w:tcBorders>
              <w:top w:val="nil"/>
              <w:left w:val="nil"/>
              <w:bottom w:val="single" w:sz="4" w:space="0" w:color="auto"/>
              <w:right w:val="single" w:sz="4" w:space="0" w:color="auto"/>
            </w:tcBorders>
            <w:shd w:val="clear" w:color="auto" w:fill="auto"/>
            <w:noWrap/>
            <w:vAlign w:val="bottom"/>
            <w:hideMark/>
          </w:tcPr>
          <w:p w:rsidR="002D03F2" w:rsidRPr="0074239A" w:rsidP="00E96AF9" w14:paraId="3F98CDFC" w14:textId="70240C46">
            <w:pPr>
              <w:bidi w:val="0"/>
              <w:jc w:val="center"/>
              <w:rPr>
                <w:rFonts w:asciiTheme="majorHAnsi" w:hAnsiTheme="majorHAnsi" w:cstheme="majorBidi"/>
                <w:color w:val="000000"/>
                <w:sz w:val="22"/>
                <w:szCs w:val="22"/>
              </w:rPr>
            </w:pPr>
            <w:r w:rsidRPr="0028735B">
              <w:rPr>
                <w:rFonts w:asciiTheme="majorHAnsi" w:hAnsiTheme="majorHAnsi" w:cstheme="majorBidi"/>
                <w:color w:val="000000"/>
                <w:sz w:val="22"/>
                <w:szCs w:val="22"/>
                <w:rtl w:val="0"/>
                <w:lang w:val="es"/>
              </w:rPr>
              <w:t>Jeney James</w:t>
            </w:r>
          </w:p>
        </w:tc>
        <w:tc>
          <w:tcPr>
            <w:tcW w:w="3420" w:type="dxa"/>
            <w:tcBorders>
              <w:top w:val="nil"/>
              <w:left w:val="nil"/>
              <w:bottom w:val="single" w:sz="4" w:space="0" w:color="auto"/>
              <w:right w:val="single" w:sz="4" w:space="0" w:color="auto"/>
            </w:tcBorders>
            <w:shd w:val="clear" w:color="auto" w:fill="auto"/>
            <w:noWrap/>
            <w:vAlign w:val="bottom"/>
            <w:hideMark/>
          </w:tcPr>
          <w:p w:rsidR="002D03F2" w:rsidRPr="0074239A" w:rsidP="00E74EF7" w14:paraId="64231B2E" w14:textId="08F9985B">
            <w:pPr>
              <w:bidi w:val="0"/>
              <w:rPr>
                <w:rFonts w:asciiTheme="majorHAnsi" w:hAnsiTheme="majorHAnsi" w:cstheme="majorBidi"/>
                <w:color w:val="000000"/>
                <w:sz w:val="22"/>
                <w:szCs w:val="22"/>
              </w:rPr>
            </w:pPr>
            <w:r w:rsidRPr="0028735B">
              <w:rPr>
                <w:rFonts w:asciiTheme="majorHAnsi" w:hAnsiTheme="majorHAnsi" w:cstheme="majorBidi"/>
                <w:color w:val="000000"/>
                <w:sz w:val="22"/>
                <w:szCs w:val="22"/>
                <w:rtl w:val="0"/>
                <w:lang w:val="es"/>
              </w:rPr>
              <w:t>Jeney.James@adeccona.com</w:t>
            </w:r>
          </w:p>
        </w:tc>
      </w:tr>
      <w:tr w14:paraId="400FB1F3" w14:textId="77777777" w:rsidTr="6B3824FD">
        <w:tblPrEx>
          <w:tblW w:w="10142" w:type="dxa"/>
          <w:tblInd w:w="113" w:type="dxa"/>
          <w:tblLook w:val="04A0"/>
        </w:tblPrEx>
        <w:trPr>
          <w:trHeight w:val="31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2D03F2" w:rsidRPr="0074239A" w:rsidP="00E74EF7" w14:paraId="115FB09C" w14:textId="77777777">
            <w:pPr>
              <w:bidi w:val="0"/>
              <w:jc w:val="center"/>
              <w:rPr>
                <w:rFonts w:asciiTheme="majorHAnsi" w:hAnsiTheme="majorHAnsi" w:cstheme="majorBidi"/>
                <w:color w:val="000000"/>
                <w:sz w:val="22"/>
                <w:szCs w:val="22"/>
              </w:rPr>
            </w:pPr>
            <w:r w:rsidRPr="3766A6B7">
              <w:rPr>
                <w:rFonts w:asciiTheme="majorHAnsi" w:hAnsiTheme="majorHAnsi" w:cstheme="majorBidi"/>
                <w:color w:val="000000" w:themeColor="text1"/>
                <w:sz w:val="22"/>
                <w:szCs w:val="22"/>
                <w:rtl w:val="0"/>
                <w:lang w:val="es"/>
              </w:rPr>
              <w:t>2</w:t>
            </w:r>
          </w:p>
        </w:tc>
        <w:tc>
          <w:tcPr>
            <w:tcW w:w="2925" w:type="dxa"/>
            <w:tcBorders>
              <w:top w:val="nil"/>
              <w:left w:val="nil"/>
              <w:bottom w:val="single" w:sz="4" w:space="0" w:color="auto"/>
              <w:right w:val="single" w:sz="4" w:space="0" w:color="auto"/>
            </w:tcBorders>
            <w:shd w:val="clear" w:color="auto" w:fill="auto"/>
            <w:noWrap/>
            <w:vAlign w:val="bottom"/>
            <w:hideMark/>
          </w:tcPr>
          <w:p w:rsidR="002D03F2" w:rsidRPr="0074239A" w:rsidP="6B3824FD" w14:paraId="1F071083" w14:textId="77777777">
            <w:pPr>
              <w:bidi w:val="0"/>
              <w:jc w:val="center"/>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tl w:val="0"/>
                <w:lang w:val="es"/>
              </w:rPr>
              <w:t>Robert Half</w:t>
            </w:r>
          </w:p>
        </w:tc>
        <w:tc>
          <w:tcPr>
            <w:tcW w:w="3397" w:type="dxa"/>
            <w:tcBorders>
              <w:top w:val="nil"/>
              <w:left w:val="nil"/>
              <w:bottom w:val="single" w:sz="4" w:space="0" w:color="auto"/>
              <w:right w:val="single" w:sz="4" w:space="0" w:color="auto"/>
            </w:tcBorders>
            <w:shd w:val="clear" w:color="auto" w:fill="auto"/>
            <w:noWrap/>
            <w:vAlign w:val="bottom"/>
            <w:hideMark/>
          </w:tcPr>
          <w:p w:rsidR="002D03F2" w:rsidRPr="0074239A" w:rsidP="0051357C" w14:paraId="6D114223" w14:textId="58728861">
            <w:pPr>
              <w:bidi w:val="0"/>
              <w:jc w:val="center"/>
              <w:rPr>
                <w:rFonts w:asciiTheme="majorHAnsi" w:hAnsiTheme="majorHAnsi" w:cstheme="majorBidi"/>
                <w:color w:val="000000"/>
                <w:sz w:val="22"/>
                <w:szCs w:val="22"/>
              </w:rPr>
            </w:pPr>
            <w:r>
              <w:rPr>
                <w:rFonts w:asciiTheme="majorHAnsi" w:hAnsiTheme="majorHAnsi" w:cstheme="majorBidi"/>
                <w:color w:val="000000"/>
                <w:sz w:val="22"/>
                <w:szCs w:val="22"/>
                <w:rtl w:val="0"/>
                <w:lang w:val="es"/>
              </w:rPr>
              <w:t>Jenifer Mauney</w:t>
            </w:r>
          </w:p>
        </w:tc>
        <w:tc>
          <w:tcPr>
            <w:tcW w:w="3420" w:type="dxa"/>
            <w:tcBorders>
              <w:top w:val="nil"/>
              <w:left w:val="nil"/>
              <w:bottom w:val="single" w:sz="4" w:space="0" w:color="auto"/>
              <w:right w:val="single" w:sz="4" w:space="0" w:color="auto"/>
            </w:tcBorders>
            <w:shd w:val="clear" w:color="auto" w:fill="auto"/>
            <w:noWrap/>
            <w:vAlign w:val="bottom"/>
            <w:hideMark/>
          </w:tcPr>
          <w:p w:rsidR="002D03F2" w:rsidRPr="0074239A" w:rsidP="6B3824FD" w14:paraId="4A231CAB" w14:textId="6F529129">
            <w:pPr>
              <w:bidi w:val="0"/>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tl w:val="0"/>
                <w:lang w:val="es"/>
              </w:rPr>
              <w:t>jenifer.mauney@roberthalf.com</w:t>
            </w:r>
          </w:p>
        </w:tc>
      </w:tr>
    </w:tbl>
    <w:p w:rsidR="004A4C3B" w:rsidP="004A4C3B" w14:paraId="0D60E802" w14:textId="77777777"/>
    <w:p w:rsidR="003A1B39" w:rsidP="0051357C" w14:paraId="7B687A39" w14:textId="5BB2D3F3">
      <w:pPr>
        <w:bidi w:val="0"/>
        <w:ind w:left="360"/>
        <w:rPr>
          <w:rFonts w:eastAsia="SimHei" w:asciiTheme="majorHAnsi" w:hAnsiTheme="majorHAnsi" w:cstheme="majorBidi"/>
          <w:sz w:val="22"/>
          <w:szCs w:val="22"/>
        </w:rPr>
      </w:pPr>
      <w:r w:rsidRPr="3766A6B7">
        <w:rPr>
          <w:rFonts w:eastAsia="SimHei" w:asciiTheme="majorHAnsi" w:hAnsiTheme="majorHAnsi" w:cstheme="majorBidi"/>
          <w:sz w:val="22"/>
          <w:szCs w:val="22"/>
          <w:rtl w:val="0"/>
          <w:lang w:val="es"/>
        </w:rPr>
        <w:t>Si ninguno de los proveedores enumerados anteriormente puede satisfacer un requisito específico, se debe consultar a Strategic Sourcing para explorar opciones alternativas.</w:t>
      </w:r>
    </w:p>
    <w:p w:rsidR="00AB0BFF" w:rsidP="0051357C" w14:paraId="6B94AC95" w14:textId="77777777">
      <w:pPr>
        <w:ind w:left="360"/>
        <w:rPr>
          <w:rFonts w:eastAsia="SimHei" w:asciiTheme="majorHAnsi" w:hAnsiTheme="majorHAnsi" w:cstheme="majorBidi"/>
          <w:sz w:val="22"/>
          <w:szCs w:val="22"/>
        </w:rPr>
      </w:pPr>
    </w:p>
    <w:p w:rsidR="008E0A00" w:rsidRPr="00A535B7" w:rsidP="004E717E" w14:paraId="3C280C95" w14:textId="79C35168">
      <w:pPr>
        <w:bidi w:val="0"/>
        <w:ind w:left="360"/>
        <w:jc w:val="both"/>
        <w:rPr>
          <w:rFonts w:eastAsia="SimHei"/>
          <w:b/>
          <w:bCs/>
          <w:sz w:val="22"/>
          <w:szCs w:val="22"/>
        </w:rPr>
      </w:pPr>
      <w:r w:rsidRPr="004E717E">
        <w:rPr>
          <w:rFonts w:eastAsia="SimHei" w:asciiTheme="majorHAnsi" w:hAnsiTheme="majorHAnsi" w:cstheme="majorBidi"/>
          <w:sz w:val="22"/>
          <w:szCs w:val="22"/>
          <w:rtl w:val="0"/>
          <w:lang w:val="es"/>
        </w:rPr>
        <w:t>Se han negociado contratos locales y tarjetas de tarifas para Estados Unidos, Francia y los Países Bajos. Para otros países, póngase en contacto con su equipo local de Strategic Sourcing para que le ayuden a implementar estos proveedores en cuanto surja</w:t>
      </w:r>
      <w:r w:rsidRPr="00A535B7">
        <w:rPr>
          <w:rFonts w:eastAsia="SimHei" w:asciiTheme="majorHAnsi" w:hAnsiTheme="majorHAnsi" w:cstheme="majorBidi"/>
          <w:b/>
          <w:bCs/>
          <w:sz w:val="22"/>
          <w:szCs w:val="22"/>
          <w:rtl w:val="0"/>
          <w:lang w:val="es"/>
        </w:rPr>
        <w:t xml:space="preserve"> la necesidad de un Trabajador Contingente. Dado que Brink's se asocia con estos proveedores como parte de un programa global para asegurarse precios preferentes, es esencial que no se les contrate de forma ad hoc a nivel local.</w:t>
      </w:r>
    </w:p>
    <w:p w:rsidR="003A1B39" w:rsidRPr="008E0A00" w:rsidP="003A1B39" w14:paraId="313A86F0" w14:textId="0478D16B">
      <w:pPr>
        <w:pStyle w:val="Heading2"/>
        <w:bidi w:val="0"/>
        <w:ind w:left="360"/>
        <w:rPr>
          <w:color w:val="auto"/>
          <w:sz w:val="22"/>
          <w:szCs w:val="22"/>
        </w:rPr>
      </w:pPr>
      <w:bookmarkStart w:id="29" w:name="_Toc256000015"/>
      <w:r w:rsidRPr="74515DB9">
        <w:rPr>
          <w:color w:val="auto"/>
          <w:sz w:val="22"/>
          <w:szCs w:val="22"/>
          <w:rtl w:val="0"/>
          <w:lang w:val="es"/>
        </w:rPr>
        <w:t>Contratación estratégica</w:t>
      </w:r>
      <w:bookmarkEnd w:id="29"/>
    </w:p>
    <w:p w:rsidR="4E9968A4" w:rsidP="4E9968A4" w14:paraId="5031B698" w14:textId="2C775788">
      <w:pPr>
        <w:bidi w:val="0"/>
        <w:spacing w:before="120" w:after="120"/>
        <w:jc w:val="both"/>
        <w:rPr>
          <w:rFonts w:asciiTheme="majorHAnsi" w:hAnsiTheme="majorHAnsi" w:cstheme="majorBidi"/>
          <w:sz w:val="22"/>
          <w:szCs w:val="22"/>
        </w:rPr>
      </w:pPr>
      <w:r w:rsidRPr="4E9968A4">
        <w:rPr>
          <w:rFonts w:asciiTheme="majorHAnsi" w:hAnsiTheme="majorHAnsi" w:cstheme="majorBidi"/>
          <w:sz w:val="22"/>
          <w:szCs w:val="22"/>
          <w:rtl w:val="0"/>
          <w:lang w:val="es"/>
        </w:rPr>
        <w:t>Cuando un proveedor preferido no pueda cumplir los requisitos del Interesado comercial/socio de RR.HH., Strategic Sourcing se comprometerá a seleccionar un proveedor alternativo. La contratación estratégica seguirá los siguientes pasos:</w:t>
      </w:r>
    </w:p>
    <w:p w:rsidR="004A4C3B" w:rsidRPr="00B76DE1" w:rsidP="00FA438B" w14:paraId="49B073DD" w14:textId="6FE2C365">
      <w:pPr>
        <w:pStyle w:val="Heading3"/>
        <w:numPr>
          <w:ilvl w:val="0"/>
          <w:numId w:val="0"/>
        </w:numPr>
        <w:bidi w:val="0"/>
      </w:pPr>
      <w:r w:rsidRPr="00FA438B">
        <w:rPr>
          <w:noProof/>
          <w:color w:val="auto"/>
        </w:rPr>
        <w:drawing>
          <wp:anchor distT="0" distB="0" distL="114300" distR="114300" simplePos="0" relativeHeight="251659264" behindDoc="0" locked="0" layoutInCell="1" allowOverlap="1">
            <wp:simplePos x="0" y="0"/>
            <wp:positionH relativeFrom="column">
              <wp:posOffset>-60877</wp:posOffset>
            </wp:positionH>
            <wp:positionV relativeFrom="paragraph">
              <wp:posOffset>719317</wp:posOffset>
            </wp:positionV>
            <wp:extent cx="6583680" cy="2891790"/>
            <wp:effectExtent l="0" t="0" r="7620" b="3810"/>
            <wp:wrapTopAndBottom/>
            <wp:docPr id="162528377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703295" name="Picture 1" descr="A screenshot of a computer screen&#10;&#10;Description automatically generated"/>
                    <pic:cNvPicPr/>
                  </pic:nvPicPr>
                  <pic:blipFill>
                    <a:blip xmlns:r="http://schemas.openxmlformats.org/officeDocument/2006/relationships" r:embed="rId9"/>
                    <a:stretch>
                      <a:fillRect/>
                    </a:stretch>
                  </pic:blipFill>
                  <pic:spPr>
                    <a:xfrm>
                      <a:off x="0" y="0"/>
                      <a:ext cx="6583680" cy="2891790"/>
                    </a:xfrm>
                    <a:prstGeom prst="rect">
                      <a:avLst/>
                    </a:prstGeom>
                  </pic:spPr>
                </pic:pic>
              </a:graphicData>
            </a:graphic>
            <wp14:sizeRelH relativeFrom="margin">
              <wp14:pctWidth>0</wp14:pctWidth>
            </wp14:sizeRelH>
            <wp14:sizeRelV relativeFrom="margin">
              <wp14:pctHeight>0</wp14:pctHeight>
            </wp14:sizeRelV>
          </wp:anchor>
        </w:drawing>
      </w:r>
      <w:bookmarkStart w:id="30" w:name="_Toc179490789"/>
      <w:bookmarkStart w:id="31" w:name="_Toc179490895"/>
      <w:bookmarkStart w:id="32" w:name="_Toc179490967"/>
      <w:bookmarkStart w:id="33" w:name="_Toc179491282"/>
      <w:bookmarkStart w:id="34" w:name="_Toc179491323"/>
      <w:bookmarkStart w:id="35" w:name="_Toc179492949"/>
      <w:bookmarkStart w:id="36" w:name="_Toc179490790"/>
      <w:bookmarkStart w:id="37" w:name="_Toc179490896"/>
      <w:bookmarkStart w:id="38" w:name="_Toc179490968"/>
      <w:bookmarkStart w:id="39" w:name="_Toc179491283"/>
      <w:bookmarkStart w:id="40" w:name="_Toc179491324"/>
      <w:bookmarkStart w:id="41" w:name="_Toc179492950"/>
      <w:bookmarkStart w:id="42" w:name="_Toc179490791"/>
      <w:bookmarkStart w:id="43" w:name="_Toc179490897"/>
      <w:bookmarkStart w:id="44" w:name="_Toc179490969"/>
      <w:bookmarkStart w:id="45" w:name="_Toc179491284"/>
      <w:bookmarkStart w:id="46" w:name="_Toc179491325"/>
      <w:bookmarkStart w:id="47" w:name="_Toc179492951"/>
      <w:bookmarkStart w:id="48" w:name="_Toc179490792"/>
      <w:bookmarkStart w:id="49" w:name="_Toc179490898"/>
      <w:bookmarkStart w:id="50" w:name="_Toc179490970"/>
      <w:bookmarkStart w:id="51" w:name="_Toc179491285"/>
      <w:bookmarkStart w:id="52" w:name="_Toc179491326"/>
      <w:bookmarkStart w:id="53" w:name="_Toc179492952"/>
      <w:bookmarkStart w:id="54" w:name="_Toc179490793"/>
      <w:bookmarkStart w:id="55" w:name="_Toc179490899"/>
      <w:bookmarkStart w:id="56" w:name="_Toc179490971"/>
      <w:bookmarkStart w:id="57" w:name="_Toc179491286"/>
      <w:bookmarkStart w:id="58" w:name="_Toc179491327"/>
      <w:bookmarkStart w:id="59" w:name="_Toc179492953"/>
      <w:bookmarkStart w:id="60" w:name="_Toc179490794"/>
      <w:bookmarkStart w:id="61" w:name="_Toc179490900"/>
      <w:bookmarkStart w:id="62" w:name="_Toc179490972"/>
      <w:bookmarkStart w:id="63" w:name="_Toc179491287"/>
      <w:bookmarkStart w:id="64" w:name="_Toc179491328"/>
      <w:bookmarkStart w:id="65" w:name="_Toc179492954"/>
      <w:bookmarkStart w:id="66" w:name="_Toc179490795"/>
      <w:bookmarkStart w:id="67" w:name="_Toc179490901"/>
      <w:bookmarkStart w:id="68" w:name="_Toc179490973"/>
      <w:bookmarkStart w:id="69" w:name="_Toc179491288"/>
      <w:bookmarkStart w:id="70" w:name="_Toc179491329"/>
      <w:bookmarkStart w:id="71" w:name="_Toc179492955"/>
      <w:bookmarkStart w:id="72" w:name="_Toc179490796"/>
      <w:bookmarkStart w:id="73" w:name="_Toc179490902"/>
      <w:bookmarkStart w:id="74" w:name="_Toc179490974"/>
      <w:bookmarkStart w:id="75" w:name="_Toc179491289"/>
      <w:bookmarkStart w:id="76" w:name="_Toc179491330"/>
      <w:bookmarkStart w:id="77" w:name="_Toc179492956"/>
      <w:bookmarkStart w:id="78" w:name="_Toc179490797"/>
      <w:bookmarkStart w:id="79" w:name="_Toc179490903"/>
      <w:bookmarkStart w:id="80" w:name="_Toc179490975"/>
      <w:bookmarkStart w:id="81" w:name="_Toc179491290"/>
      <w:bookmarkStart w:id="82" w:name="_Toc179491331"/>
      <w:bookmarkStart w:id="83" w:name="_Toc17949295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Toc256000016"/>
      <w:r w:rsidRPr="00FA438B" w:rsidR="00141344">
        <w:rPr>
          <w:color w:val="auto"/>
          <w:rtl w:val="0"/>
          <w:lang w:val="es"/>
        </w:rPr>
        <w:t>Contratación de trabajadores eventuales</w:t>
      </w:r>
      <w:bookmarkEnd w:id="84"/>
    </w:p>
    <w:p w:rsidR="003464B7" w:rsidRPr="0051357C" w:rsidP="0051357C" w14:paraId="2231FAC3" w14:textId="77777777">
      <w:pPr>
        <w:rPr>
          <w:rFonts w:eastAsiaTheme="majorEastAsia"/>
        </w:rPr>
      </w:pPr>
    </w:p>
    <w:p w:rsidR="00851A67" w:rsidRPr="006E53F7" w:rsidP="00851A67" w14:paraId="1CFFF01C" w14:textId="06E30D0C">
      <w:pPr>
        <w:bidi w:val="0"/>
        <w:jc w:val="both"/>
        <w:rPr>
          <w:rFonts w:asciiTheme="majorHAnsi" w:hAnsiTheme="majorHAnsi" w:cstheme="majorBidi"/>
          <w:sz w:val="22"/>
          <w:szCs w:val="22"/>
        </w:rPr>
      </w:pPr>
      <w:r w:rsidRPr="0051357C">
        <w:rPr>
          <w:rFonts w:asciiTheme="majorHAnsi" w:hAnsiTheme="majorHAnsi" w:cstheme="majorBidi"/>
          <w:sz w:val="22"/>
          <w:szCs w:val="22"/>
          <w:rtl w:val="0"/>
          <w:lang w:val="es"/>
        </w:rPr>
        <w:t xml:space="preserve">Las normas y el conjunto de instrucciones que figuran a continuación son aplicables cuando los responsables de la contratación desean contratar a trabajadores </w:t>
      </w:r>
      <w:r w:rsidR="00C20CDD">
        <w:rPr>
          <w:rFonts w:asciiTheme="majorHAnsi" w:hAnsiTheme="majorHAnsi" w:cstheme="majorBidi"/>
          <w:i/>
          <w:sz w:val="22"/>
          <w:szCs w:val="22"/>
          <w:rtl w:val="0"/>
          <w:lang w:val="es"/>
        </w:rPr>
        <w:t>eventuales.</w:t>
      </w:r>
      <w:r w:rsidRPr="0051357C">
        <w:rPr>
          <w:rFonts w:asciiTheme="majorHAnsi" w:hAnsiTheme="majorHAnsi" w:cstheme="majorBidi"/>
          <w:sz w:val="22"/>
          <w:szCs w:val="22"/>
          <w:rtl w:val="0"/>
          <w:lang w:val="es"/>
        </w:rPr>
        <w:t xml:space="preserve"> Por ejemplo, contratar a un trabajador temporal durante 6 meses mientras un empleado fijo está de baja prolongada. </w:t>
      </w:r>
    </w:p>
    <w:p w:rsidR="006E53F7" w:rsidRPr="0051357C" w:rsidP="6B3824FD" w14:paraId="4D5A0B17" w14:textId="77777777">
      <w:pPr>
        <w:pStyle w:val="Heading3"/>
        <w:numPr>
          <w:ilvl w:val="0"/>
          <w:numId w:val="0"/>
        </w:numPr>
        <w:bidi w:val="0"/>
        <w:jc w:val="both"/>
        <w:rPr>
          <w:i/>
          <w:iCs/>
          <w:color w:val="auto"/>
          <w:sz w:val="22"/>
          <w:szCs w:val="22"/>
        </w:rPr>
      </w:pPr>
      <w:bookmarkStart w:id="85" w:name="_Toc64992975"/>
      <w:bookmarkStart w:id="86" w:name="_Toc256000017"/>
      <w:r w:rsidRPr="6B3824FD">
        <w:rPr>
          <w:i/>
          <w:iCs/>
          <w:color w:val="auto"/>
          <w:sz w:val="22"/>
          <w:szCs w:val="22"/>
          <w:rtl w:val="0"/>
          <w:lang w:val="es"/>
        </w:rPr>
        <w:t>Autorización para contratar</w:t>
      </w:r>
      <w:bookmarkEnd w:id="86"/>
      <w:bookmarkEnd w:id="85"/>
    </w:p>
    <w:p w:rsidR="006E53F7" w:rsidRPr="006E53F7" w:rsidP="6B3824FD" w14:paraId="410F6F59" w14:textId="54F7DB15">
      <w:pPr>
        <w:bidi w:val="0"/>
        <w:rPr>
          <w:b/>
          <w:bCs/>
        </w:rPr>
      </w:pPr>
      <w:r w:rsidRPr="6B3824FD">
        <w:rPr>
          <w:rFonts w:asciiTheme="majorHAnsi" w:hAnsiTheme="majorHAnsi" w:cstheme="majorBidi"/>
          <w:sz w:val="22"/>
          <w:szCs w:val="22"/>
          <w:rtl w:val="0"/>
          <w:lang w:val="es"/>
        </w:rPr>
        <w:t xml:space="preserve">Todas las nuevas solicitudes de Trabajadores Contingentes requieren la aprobación del HR Business Partner. Es responsabilidad del socio empresarial de RR.HH. garantizar que todas las nuevas contrataciones cumplan esta política y colaborar con Strategic Sourcing en caso necesario. </w:t>
      </w:r>
    </w:p>
    <w:p w:rsidR="00851A67" w:rsidRPr="0051357C" w:rsidP="6B3824FD" w14:paraId="21AB2922" w14:textId="77777777">
      <w:pPr>
        <w:pStyle w:val="Heading3"/>
        <w:numPr>
          <w:ilvl w:val="0"/>
          <w:numId w:val="0"/>
        </w:numPr>
        <w:bidi w:val="0"/>
        <w:jc w:val="both"/>
        <w:rPr>
          <w:rFonts w:eastAsia="Calibri"/>
          <w:i/>
          <w:iCs/>
          <w:color w:val="auto"/>
          <w:sz w:val="22"/>
          <w:szCs w:val="22"/>
          <w:lang w:eastAsia="nl-NL" w:bidi="nl-NL"/>
        </w:rPr>
      </w:pPr>
      <w:bookmarkStart w:id="87" w:name="_Toc64992960"/>
      <w:bookmarkStart w:id="88" w:name="_Toc256000018"/>
      <w:r w:rsidRPr="6B3824FD">
        <w:rPr>
          <w:rFonts w:eastAsia="Calibri"/>
          <w:i/>
          <w:iCs/>
          <w:color w:val="auto"/>
          <w:sz w:val="22"/>
          <w:szCs w:val="22"/>
          <w:rtl w:val="0"/>
          <w:lang w:val="es" w:eastAsia="nl-NL" w:bidi="nl-NL"/>
        </w:rPr>
        <w:t>Duración de la asignación</w:t>
      </w:r>
      <w:bookmarkEnd w:id="88"/>
      <w:bookmarkEnd w:id="87"/>
    </w:p>
    <w:p w:rsidR="00851A67" w:rsidRPr="0051357C" w:rsidP="6B3824FD" w14:paraId="7881A5C7" w14:textId="25EE0757">
      <w:pPr>
        <w:bidi w:val="0"/>
        <w:jc w:val="both"/>
        <w:rPr>
          <w:rFonts w:eastAsia="Calibri" w:asciiTheme="majorHAnsi" w:hAnsiTheme="majorHAnsi" w:cstheme="majorBidi"/>
          <w:sz w:val="22"/>
          <w:szCs w:val="22"/>
          <w:lang w:eastAsia="nl-NL" w:bidi="nl-NL"/>
        </w:rPr>
      </w:pPr>
      <w:r w:rsidRPr="6B3824FD">
        <w:rPr>
          <w:rFonts w:asciiTheme="majorHAnsi" w:hAnsiTheme="majorHAnsi" w:cstheme="majorBidi"/>
          <w:sz w:val="22"/>
          <w:szCs w:val="22"/>
          <w:rtl w:val="0"/>
          <w:lang w:val="es" w:eastAsia="nl-NL" w:bidi="nl-NL"/>
        </w:rPr>
        <w:t>La duración de una misión no debe superar los 12 meses naturales. El socio local de RR.HH. es responsable de hacer un seguimiento de los contratos que expiran.</w:t>
      </w:r>
    </w:p>
    <w:p w:rsidR="00851A67" w:rsidRPr="0051357C" w:rsidP="0051357C" w14:paraId="20C1CC90" w14:textId="2797B27E">
      <w:pPr>
        <w:pStyle w:val="Heading3"/>
        <w:numPr>
          <w:ilvl w:val="0"/>
          <w:numId w:val="0"/>
        </w:numPr>
        <w:bidi w:val="0"/>
        <w:jc w:val="both"/>
        <w:rPr>
          <w:rFonts w:eastAsia="Calibri"/>
          <w:i/>
          <w:iCs/>
          <w:color w:val="auto"/>
          <w:sz w:val="22"/>
          <w:szCs w:val="22"/>
          <w:lang w:eastAsia="nl-NL" w:bidi="nl-NL"/>
        </w:rPr>
      </w:pPr>
      <w:bookmarkStart w:id="89" w:name="_Toc64992961"/>
      <w:bookmarkStart w:id="90" w:name="_Toc256000019"/>
      <w:r w:rsidRPr="0051357C">
        <w:rPr>
          <w:rFonts w:eastAsia="Calibri"/>
          <w:i/>
          <w:iCs/>
          <w:color w:val="auto"/>
          <w:sz w:val="22"/>
          <w:szCs w:val="22"/>
          <w:rtl w:val="0"/>
          <w:lang w:val="es" w:eastAsia="nl-NL" w:bidi="nl-NL"/>
        </w:rPr>
        <w:t>Prórrogas de la asignación</w:t>
      </w:r>
      <w:bookmarkEnd w:id="90"/>
      <w:bookmarkEnd w:id="89"/>
    </w:p>
    <w:p w:rsidR="00851A67" w:rsidRPr="0051357C" w:rsidP="6B3824FD" w14:paraId="45D18129" w14:textId="439C9390">
      <w:pPr>
        <w:bidi w:val="0"/>
        <w:jc w:val="both"/>
        <w:rPr>
          <w:rFonts w:asciiTheme="majorHAnsi" w:hAnsiTheme="majorHAnsi" w:cstheme="majorBidi"/>
          <w:sz w:val="22"/>
          <w:szCs w:val="22"/>
          <w:lang w:eastAsia="nl-NL" w:bidi="nl-NL"/>
        </w:rPr>
      </w:pPr>
      <w:r w:rsidRPr="6B3824FD">
        <w:rPr>
          <w:rFonts w:asciiTheme="majorHAnsi" w:hAnsiTheme="majorHAnsi" w:cstheme="majorBidi"/>
          <w:sz w:val="22"/>
          <w:szCs w:val="22"/>
          <w:rtl w:val="0"/>
          <w:lang w:val="es" w:eastAsia="nl-NL" w:bidi="nl-NL"/>
        </w:rPr>
        <w:t>Cualquier asignación puede prorrogarse más allá de 12 meses naturales obteniendo la aprobación formal del Vicepresidente Regional/SVP de Recursos Humanos y del Consejero General Regional.  En algunos países, el número de ampliaciones posibles es limitado. En estos casos, siga la legislación local y póngase en contacto con el socio local de RRHH.</w:t>
      </w:r>
    </w:p>
    <w:p w:rsidR="00851A67" w:rsidRPr="0051357C" w:rsidP="0051357C" w14:paraId="7F702D9D" w14:textId="77777777">
      <w:pPr>
        <w:pStyle w:val="Heading3"/>
        <w:numPr>
          <w:ilvl w:val="0"/>
          <w:numId w:val="0"/>
        </w:numPr>
        <w:bidi w:val="0"/>
        <w:jc w:val="both"/>
        <w:rPr>
          <w:rFonts w:eastAsia="Calibri"/>
          <w:i/>
          <w:iCs/>
          <w:color w:val="auto"/>
          <w:sz w:val="22"/>
          <w:szCs w:val="22"/>
          <w:lang w:eastAsia="nl-NL" w:bidi="nl-NL"/>
        </w:rPr>
      </w:pPr>
      <w:bookmarkStart w:id="91" w:name="_Toc64992962"/>
      <w:bookmarkStart w:id="92" w:name="_Toc256000020"/>
      <w:r w:rsidRPr="0051357C">
        <w:rPr>
          <w:rFonts w:eastAsia="Calibri"/>
          <w:i/>
          <w:iCs/>
          <w:color w:val="auto"/>
          <w:sz w:val="22"/>
          <w:szCs w:val="22"/>
          <w:rtl w:val="0"/>
          <w:lang w:val="es" w:eastAsia="nl-NL" w:bidi="nl-NL"/>
        </w:rPr>
        <w:t>Periodo de separación de los trabajadores</w:t>
      </w:r>
      <w:bookmarkEnd w:id="92"/>
      <w:bookmarkEnd w:id="91"/>
    </w:p>
    <w:p w:rsidR="00D011F3" w:rsidRPr="0051357C" w:rsidP="0051357C" w14:paraId="3068D38B" w14:textId="70D9A77E">
      <w:pPr>
        <w:bidi w:val="0"/>
        <w:jc w:val="both"/>
        <w:rPr>
          <w:rFonts w:asciiTheme="majorHAnsi" w:hAnsiTheme="majorHAnsi" w:cstheme="majorBidi"/>
          <w:sz w:val="22"/>
          <w:szCs w:val="22"/>
          <w:lang w:eastAsia="nl-NL" w:bidi="nl-NL"/>
        </w:rPr>
      </w:pPr>
      <w:r>
        <w:rPr>
          <w:rFonts w:asciiTheme="majorHAnsi" w:hAnsiTheme="majorHAnsi" w:cstheme="majorBidi"/>
          <w:sz w:val="22"/>
          <w:szCs w:val="22"/>
          <w:rtl w:val="0"/>
          <w:lang w:val="es" w:eastAsia="nl-NL" w:bidi="nl-NL"/>
        </w:rPr>
        <w:t>A reserva de la legislación aplicable, si se desea renunciar a la interrupción de 3 meses, se requiere una consulta jurídica previa y una alineación. Es importante señalar que el límite de 24 meses se aplica a la permanencia total del trabajador en Brink's, no a la duración de las misiones individuales. Por lo tanto, el tiempo transcurrido entre la fecha inicial de incorporación del trabajador a Brink's y cualquier posible prórroga no puede superar los 24 meses en total. Por ejemplo, si un trabajador eventual es contratado para tres misiones consecutivas de 8 meses cada una, la duración acumulada de su contrato sería de 24 meses. En este caso, el trabajador no debe prorrogar, aunque la nueva misión sea para un proyecto o requisito diferente.</w:t>
      </w:r>
    </w:p>
    <w:p w:rsidR="00851A67" w:rsidRPr="0051357C" w:rsidP="0051357C" w14:paraId="3F602256" w14:textId="77777777">
      <w:pPr>
        <w:pStyle w:val="Heading3"/>
        <w:numPr>
          <w:ilvl w:val="0"/>
          <w:numId w:val="0"/>
        </w:numPr>
        <w:bidi w:val="0"/>
        <w:jc w:val="both"/>
        <w:rPr>
          <w:rFonts w:eastAsia="Calibri"/>
          <w:i/>
          <w:iCs/>
          <w:color w:val="auto"/>
          <w:sz w:val="22"/>
          <w:szCs w:val="22"/>
          <w:lang w:eastAsia="nl-NL" w:bidi="nl-NL"/>
        </w:rPr>
      </w:pPr>
      <w:bookmarkStart w:id="93" w:name="_Toc256000021"/>
      <w:r w:rsidRPr="0051357C">
        <w:rPr>
          <w:rFonts w:eastAsia="Calibri"/>
          <w:i/>
          <w:iCs/>
          <w:color w:val="auto"/>
          <w:sz w:val="22"/>
          <w:szCs w:val="22"/>
          <w:rtl w:val="0"/>
          <w:lang w:val="es" w:eastAsia="nl-NL" w:bidi="nl-NL"/>
        </w:rPr>
        <w:t>Asignación Horas extraordinarias</w:t>
      </w:r>
      <w:bookmarkEnd w:id="93"/>
    </w:p>
    <w:p w:rsidR="00851A67" w:rsidRPr="0051357C" w:rsidP="6B3824FD" w14:paraId="60E97CD5" w14:textId="53532CEB">
      <w:pPr>
        <w:bidi w:val="0"/>
        <w:jc w:val="both"/>
        <w:rPr>
          <w:rFonts w:eastAsia="Calibri" w:asciiTheme="majorHAnsi" w:hAnsiTheme="majorHAnsi" w:cstheme="majorBidi"/>
          <w:sz w:val="22"/>
          <w:szCs w:val="22"/>
          <w:lang w:eastAsia="nl-NL" w:bidi="nl-NL"/>
        </w:rPr>
      </w:pPr>
      <w:r w:rsidRPr="6B3824FD">
        <w:rPr>
          <w:rFonts w:eastAsia="Calibri" w:asciiTheme="majorHAnsi" w:hAnsiTheme="majorHAnsi" w:cstheme="majorBidi"/>
          <w:sz w:val="22"/>
          <w:szCs w:val="22"/>
          <w:rtl w:val="0"/>
          <w:lang w:val="es" w:eastAsia="nl-NL" w:bidi="nl-NL"/>
        </w:rPr>
        <w:t xml:space="preserve">Trabajar horas extras (o más horas de las acordadas) no está permitido y no será compensado sin la aprobación del correspondiente líder de negocio de Brink's para todos los trabajadores del conocimiento contingentes, a menos que la compensación por horas no autorizadas trabajadas sea requerida por la ley aplicable. </w:t>
      </w:r>
    </w:p>
    <w:p w:rsidR="00851A67" w:rsidRPr="0051357C" w:rsidP="0051357C" w14:paraId="7866D736" w14:textId="77777777">
      <w:pPr>
        <w:pStyle w:val="Heading3"/>
        <w:numPr>
          <w:ilvl w:val="0"/>
          <w:numId w:val="0"/>
        </w:numPr>
        <w:bidi w:val="0"/>
        <w:jc w:val="both"/>
        <w:rPr>
          <w:rFonts w:eastAsia="Calibri"/>
          <w:i/>
          <w:iCs/>
          <w:color w:val="auto"/>
          <w:sz w:val="22"/>
          <w:szCs w:val="22"/>
          <w:lang w:eastAsia="nl-NL" w:bidi="nl-NL"/>
        </w:rPr>
      </w:pPr>
      <w:bookmarkStart w:id="94" w:name="_Toc64992964"/>
      <w:bookmarkStart w:id="95" w:name="_Toc256000022"/>
      <w:r w:rsidRPr="0051357C">
        <w:rPr>
          <w:rFonts w:eastAsia="Calibri"/>
          <w:i/>
          <w:iCs/>
          <w:color w:val="auto"/>
          <w:sz w:val="22"/>
          <w:szCs w:val="22"/>
          <w:rtl w:val="0"/>
          <w:lang w:val="es" w:eastAsia="nl-NL" w:bidi="nl-NL"/>
        </w:rPr>
        <w:t>Furlough</w:t>
      </w:r>
      <w:bookmarkEnd w:id="95"/>
      <w:bookmarkEnd w:id="94"/>
    </w:p>
    <w:p w:rsidR="00851A67" w:rsidRPr="0051357C" w:rsidP="00851A67" w14:paraId="0C269785" w14:textId="137C1A18">
      <w:pPr>
        <w:bidi w:val="0"/>
        <w:jc w:val="both"/>
        <w:rPr>
          <w:rFonts w:eastAsia="Calibri" w:asciiTheme="majorHAnsi" w:hAnsiTheme="majorHAnsi" w:cstheme="majorBidi"/>
          <w:sz w:val="22"/>
          <w:szCs w:val="22"/>
          <w:lang w:eastAsia="nl-NL" w:bidi="nl-NL"/>
        </w:rPr>
      </w:pPr>
      <w:r w:rsidRPr="0051357C">
        <w:rPr>
          <w:rFonts w:eastAsia="Calibri" w:asciiTheme="majorHAnsi" w:hAnsiTheme="majorHAnsi" w:cstheme="majorBidi"/>
          <w:sz w:val="22"/>
          <w:szCs w:val="22"/>
          <w:rtl w:val="0"/>
          <w:lang w:val="es" w:eastAsia="nl-NL" w:bidi="nl-NL"/>
        </w:rPr>
        <w:t xml:space="preserve">El despido es aplicable a todos los Trabajadores del Conocimiento contingentes de acuerdo con la legislación local. </w:t>
      </w:r>
    </w:p>
    <w:p w:rsidR="00DE1765" w:rsidP="0051357C" w14:paraId="30031C7C" w14:textId="67448CDB">
      <w:pPr>
        <w:pStyle w:val="Heading3"/>
        <w:numPr>
          <w:ilvl w:val="0"/>
          <w:numId w:val="0"/>
        </w:numPr>
        <w:bidi w:val="0"/>
        <w:jc w:val="both"/>
        <w:rPr>
          <w:lang w:eastAsia="nl-NL" w:bidi="nl-NL"/>
        </w:rPr>
      </w:pPr>
      <w:bookmarkStart w:id="96" w:name="_Toc256000023"/>
      <w:r>
        <w:rPr>
          <w:rFonts w:eastAsia="Calibri"/>
          <w:i/>
          <w:iCs/>
          <w:color w:val="auto"/>
          <w:sz w:val="22"/>
          <w:szCs w:val="22"/>
          <w:rtl w:val="0"/>
          <w:lang w:val="es" w:eastAsia="nl-NL" w:bidi="nl-NL"/>
        </w:rPr>
        <w:t>Contrataciones recomendadas</w:t>
      </w:r>
      <w:bookmarkEnd w:id="96"/>
    </w:p>
    <w:p w:rsidR="00851A67" w:rsidRPr="0051357C" w:rsidP="6B3824FD" w14:paraId="46CF149F" w14:textId="1FC8BDA3">
      <w:pPr>
        <w:bidi w:val="0"/>
        <w:jc w:val="both"/>
        <w:rPr>
          <w:rFonts w:eastAsia="Calibri" w:asciiTheme="majorHAnsi" w:hAnsiTheme="majorHAnsi" w:cstheme="majorBidi"/>
          <w:sz w:val="22"/>
          <w:szCs w:val="22"/>
          <w:lang w:eastAsia="nl-NL" w:bidi="nl-NL"/>
        </w:rPr>
      </w:pPr>
      <w:r w:rsidRPr="6B3824FD">
        <w:rPr>
          <w:rFonts w:eastAsia="Calibri" w:asciiTheme="majorHAnsi" w:hAnsiTheme="majorHAnsi" w:cstheme="majorBidi"/>
          <w:sz w:val="22"/>
          <w:szCs w:val="22"/>
          <w:rtl w:val="0"/>
          <w:lang w:val="es" w:eastAsia="nl-NL" w:bidi="nl-NL"/>
        </w:rPr>
        <w:t>Queda terminantemente prohibida la práctica de que un empleado de Brink's recomiende contrataciones externas, es decir, que se seleccione a un trabajador externo específico para un empleo sin someterlo a un proceso de selección competitivo. Brink's es una empresa que ofrece igualdad de oportunidades. Esta política garantiza que las decisiones de contratación se tomen de forma transparente y justa, permitiendo a todos los candidatos potenciales la misma oportunidad de competir por los puestos. También mitiga los riesgos asociados al favoritismo, reduce la probabilidad de incumplimiento de las políticas internas y se ajusta a las normas de la empresa en materia de equidad y rentabilidad en la contratación de personal. En casos excepcionales en los que se considere necesaria una contratación referida -por ejemplo, cuando un candidato posea aptitudes o experiencia únicas y fundamentales para un proyecto- deberá aportarse una justificación adecuada. Cualquier excepción requiere la aprobación del vicepresidente regional/vicepresidente de Recursos Humanos para garantizar que la decisión de contratación se ajusta a los objetivos generales de la organización y a las políticas de contratación. Sólo después de recibir dichas aprobaciones podrá procederse a la contratación de la persona nombrada.</w:t>
      </w:r>
    </w:p>
    <w:p w:rsidR="00851A67" w:rsidRPr="0051357C" w:rsidP="0051357C" w14:paraId="11570396" w14:textId="77777777">
      <w:pPr>
        <w:pStyle w:val="Heading3"/>
        <w:numPr>
          <w:ilvl w:val="0"/>
          <w:numId w:val="0"/>
        </w:numPr>
        <w:bidi w:val="0"/>
        <w:jc w:val="both"/>
        <w:rPr>
          <w:rFonts w:eastAsia="Calibri"/>
          <w:i/>
          <w:iCs/>
          <w:color w:val="auto"/>
          <w:sz w:val="22"/>
          <w:szCs w:val="22"/>
          <w:lang w:eastAsia="nl-NL" w:bidi="nl-NL"/>
        </w:rPr>
      </w:pPr>
      <w:bookmarkStart w:id="97" w:name="_Toc256000024"/>
      <w:r w:rsidRPr="0051357C">
        <w:rPr>
          <w:rFonts w:eastAsia="Calibri"/>
          <w:i/>
          <w:iCs/>
          <w:color w:val="auto"/>
          <w:sz w:val="22"/>
          <w:szCs w:val="22"/>
          <w:rtl w:val="0"/>
          <w:lang w:val="es" w:eastAsia="nl-NL" w:bidi="nl-NL"/>
        </w:rPr>
        <w:t>Gastos y reembolsos</w:t>
      </w:r>
      <w:bookmarkEnd w:id="97"/>
    </w:p>
    <w:p w:rsidR="00851A67" w:rsidRPr="0051357C" w:rsidP="00851A67" w14:paraId="4960368C" w14:textId="7BEF30A3">
      <w:pPr>
        <w:bidi w:val="0"/>
        <w:jc w:val="both"/>
        <w:rPr>
          <w:rFonts w:eastAsia="Calibri" w:asciiTheme="majorHAnsi" w:hAnsiTheme="majorHAnsi" w:cstheme="majorBidi"/>
          <w:sz w:val="22"/>
          <w:szCs w:val="22"/>
          <w:lang w:eastAsia="nl-NL" w:bidi="nl-NL"/>
        </w:rPr>
      </w:pPr>
      <w:r w:rsidRPr="3766A6B7">
        <w:rPr>
          <w:rFonts w:eastAsia="Calibri" w:asciiTheme="majorHAnsi" w:hAnsiTheme="majorHAnsi" w:cstheme="majorBidi"/>
          <w:sz w:val="22"/>
          <w:szCs w:val="22"/>
          <w:rtl w:val="0"/>
          <w:lang w:val="es" w:eastAsia="nl-NL" w:bidi="nl-NL"/>
        </w:rPr>
        <w:t xml:space="preserve">Los gastos y reembolsos de los mismos deben ajustarse a la política de viajes de Brink's: </w:t>
      </w:r>
      <w:hyperlink r:id="rId10" w:history="1">
        <w:r w:rsidRPr="00B96659" w:rsidR="00B96659">
          <w:rPr>
            <w:rStyle w:val="Hyperlink"/>
            <w:rFonts w:eastAsia="Calibri" w:asciiTheme="majorHAnsi" w:hAnsiTheme="majorHAnsi" w:cstheme="majorBidi"/>
            <w:sz w:val="22"/>
            <w:szCs w:val="22"/>
            <w:rtl w:val="0"/>
            <w:lang w:val="es" w:eastAsia="nl-NL" w:bidi="nl-NL"/>
          </w:rPr>
          <w:t>Brinks Global Travel and Expense - Inicio</w:t>
        </w:r>
      </w:hyperlink>
      <w:r w:rsidRPr="3766A6B7">
        <w:rPr>
          <w:rFonts w:eastAsia="Calibri" w:asciiTheme="majorHAnsi" w:hAnsiTheme="majorHAnsi" w:cstheme="majorBidi"/>
          <w:sz w:val="22"/>
          <w:szCs w:val="22"/>
          <w:rtl w:val="0"/>
          <w:lang w:val="es" w:eastAsia="nl-NL" w:bidi="nl-NL"/>
        </w:rPr>
        <w:t xml:space="preserve">. </w:t>
      </w:r>
    </w:p>
    <w:p w:rsidR="0059487B" w:rsidP="0051357C" w14:paraId="547A0D5C" w14:textId="3FC863FA">
      <w:pPr>
        <w:pStyle w:val="Heading3"/>
        <w:numPr>
          <w:ilvl w:val="0"/>
          <w:numId w:val="0"/>
        </w:numPr>
        <w:bidi w:val="0"/>
        <w:jc w:val="both"/>
        <w:rPr>
          <w:lang w:eastAsia="nl-NL" w:bidi="nl-NL"/>
        </w:rPr>
      </w:pPr>
      <w:bookmarkStart w:id="98" w:name="_Toc64992969"/>
      <w:bookmarkStart w:id="99" w:name="_Toc256000025"/>
      <w:r w:rsidRPr="0051357C">
        <w:rPr>
          <w:rFonts w:eastAsia="Calibri"/>
          <w:i/>
          <w:iCs/>
          <w:color w:val="auto"/>
          <w:sz w:val="22"/>
          <w:szCs w:val="22"/>
          <w:rtl w:val="0"/>
          <w:lang w:val="es" w:eastAsia="nl-NL" w:bidi="nl-NL"/>
        </w:rPr>
        <w:t>Gestión de riesgos</w:t>
      </w:r>
      <w:bookmarkEnd w:id="99"/>
      <w:bookmarkEnd w:id="98"/>
      <w:r w:rsidRPr="0051357C">
        <w:rPr>
          <w:rFonts w:eastAsia="Calibri"/>
          <w:i/>
          <w:iCs/>
          <w:color w:val="auto"/>
          <w:sz w:val="22"/>
          <w:szCs w:val="22"/>
          <w:rtl w:val="0"/>
          <w:lang w:val="es" w:eastAsia="nl-NL" w:bidi="nl-NL"/>
        </w:rPr>
        <w:t xml:space="preserve"> </w:t>
      </w:r>
      <w:bookmarkStart w:id="100" w:name="_Hlk63364643"/>
    </w:p>
    <w:p w:rsidR="0059487B" w:rsidP="0051357C" w14:paraId="52B8FA40" w14:textId="2CCC96FC">
      <w:pPr>
        <w:bidi w:val="0"/>
        <w:jc w:val="both"/>
        <w:rPr>
          <w:rFonts w:eastAsia="Calibri" w:asciiTheme="majorHAnsi" w:hAnsiTheme="majorHAnsi" w:cstheme="majorBidi"/>
          <w:sz w:val="22"/>
          <w:szCs w:val="22"/>
          <w:lang w:val="en-GB" w:eastAsia="nl-NL" w:bidi="nl-NL"/>
        </w:rPr>
      </w:pPr>
      <w:r w:rsidRPr="0059487B">
        <w:rPr>
          <w:rFonts w:eastAsia="Calibri" w:asciiTheme="majorHAnsi" w:hAnsiTheme="majorHAnsi" w:cstheme="majorBidi"/>
          <w:sz w:val="22"/>
          <w:szCs w:val="22"/>
          <w:rtl w:val="0"/>
          <w:lang w:val="es" w:eastAsia="nl-NL" w:bidi="nl-NL"/>
        </w:rPr>
        <w:t>El coempleo surge cuando una empresa, como Brink's, adopta determinadas medidas con respecto a los Contingent Qorkers que difuminan la línea que separa al contratista del empleado. Estas acciones incluyen, entre otras, revisiones salariales y de prestaciones, asesoramiento sobre el rendimiento, entrevistas, participación en reuniones de liderazgo, ayuntamientos, celebraciones o despido. En tales casos, Brink's podría ser considerada como "co-empleador" legal del trabajador contingente a pesar de no emplear directamente a la persona, lo que podría exponer a la empresa a riesgos legales significativos, incluyendo reclamaciones por beneficios y derechos laborales.</w:t>
      </w:r>
    </w:p>
    <w:p w:rsidR="0059487B" w:rsidRPr="0059487B" w:rsidP="0059487B" w14:paraId="47983B7D" w14:textId="77777777">
      <w:pPr>
        <w:ind w:firstLine="720"/>
        <w:jc w:val="both"/>
        <w:rPr>
          <w:rFonts w:eastAsia="Calibri" w:asciiTheme="majorHAnsi" w:hAnsiTheme="majorHAnsi" w:cstheme="majorBidi"/>
          <w:sz w:val="22"/>
          <w:szCs w:val="22"/>
          <w:lang w:val="en-GB" w:eastAsia="nl-NL" w:bidi="nl-NL"/>
        </w:rPr>
      </w:pPr>
    </w:p>
    <w:p w:rsidR="0059487B" w:rsidP="00703DC3" w14:paraId="1D65389A" w14:textId="3FC91744">
      <w:pPr>
        <w:bidi w:val="0"/>
        <w:spacing w:line="259" w:lineRule="auto"/>
        <w:jc w:val="both"/>
        <w:rPr>
          <w:rFonts w:ascii="Calibri" w:eastAsia="Calibri" w:hAnsi="Calibri" w:cs="Calibri"/>
          <w:sz w:val="22"/>
          <w:szCs w:val="22"/>
          <w:lang w:val="en-GB"/>
        </w:rPr>
      </w:pPr>
      <w:r w:rsidRPr="4E9968A4">
        <w:rPr>
          <w:rFonts w:eastAsia="Calibri" w:asciiTheme="majorHAnsi" w:hAnsiTheme="majorHAnsi" w:cstheme="majorBidi"/>
          <w:sz w:val="22"/>
          <w:szCs w:val="22"/>
          <w:rtl w:val="0"/>
          <w:lang w:val="es" w:eastAsia="nl-NL" w:bidi="nl-NL"/>
        </w:rPr>
        <w:t>Es fundamental evitar tratar a los trabajadores eventuales como si fueran empleados fijos o temporales. Involucrarlos en actividades como reuniones de equipo, eventos de liderazgo o programas centrados en los empleados puede dar lugar a reclamaciones legales de empleo de facto, sobre todo en países con normativas laborales estrictas.</w:t>
      </w:r>
    </w:p>
    <w:p w:rsidR="00F947C3" w:rsidP="00023788" w14:paraId="76AE4830" w14:textId="77777777">
      <w:pPr>
        <w:jc w:val="both"/>
        <w:rPr>
          <w:rFonts w:eastAsia="Calibri" w:asciiTheme="majorHAnsi" w:hAnsiTheme="majorHAnsi" w:cstheme="majorBidi"/>
          <w:sz w:val="22"/>
          <w:szCs w:val="22"/>
          <w:lang w:val="en-GB" w:eastAsia="nl-NL" w:bidi="nl-NL"/>
        </w:rPr>
      </w:pPr>
    </w:p>
    <w:p w:rsidR="00F947C3" w:rsidP="0051357C" w14:paraId="6BF39635" w14:textId="0CBECB94">
      <w:pPr>
        <w:bidi w:val="0"/>
        <w:ind w:firstLine="360"/>
        <w:jc w:val="both"/>
        <w:rPr>
          <w:rFonts w:eastAsia="Calibri" w:asciiTheme="majorHAnsi" w:hAnsiTheme="majorHAnsi" w:cstheme="majorBidi"/>
          <w:sz w:val="22"/>
          <w:szCs w:val="22"/>
          <w:u w:val="single"/>
          <w:lang w:val="en-GB" w:eastAsia="nl-NL" w:bidi="nl-NL"/>
        </w:rPr>
      </w:pPr>
      <w:r w:rsidRPr="0051357C">
        <w:rPr>
          <w:rFonts w:eastAsia="Calibri" w:asciiTheme="majorHAnsi" w:hAnsiTheme="majorHAnsi" w:cstheme="majorBidi"/>
          <w:sz w:val="22"/>
          <w:szCs w:val="22"/>
          <w:u w:val="single"/>
          <w:rtl w:val="0"/>
          <w:lang w:val="es" w:eastAsia="nl-NL" w:bidi="nl-NL"/>
        </w:rPr>
        <w:t>Cómo mitigar el riesgo de coempleo:</w:t>
      </w:r>
    </w:p>
    <w:p w:rsidR="00786AC3" w:rsidRPr="0051357C" w:rsidP="0051357C" w14:paraId="4EF0A94F" w14:textId="77777777">
      <w:pPr>
        <w:ind w:firstLine="360"/>
        <w:jc w:val="both"/>
        <w:rPr>
          <w:rFonts w:eastAsia="Calibri" w:asciiTheme="majorHAnsi" w:hAnsiTheme="majorHAnsi" w:cstheme="majorBidi"/>
          <w:sz w:val="22"/>
          <w:szCs w:val="22"/>
          <w:u w:val="single"/>
          <w:lang w:val="en-GB" w:eastAsia="nl-NL" w:bidi="nl-NL"/>
        </w:rPr>
      </w:pPr>
    </w:p>
    <w:p w:rsidR="007A1771" w:rsidRPr="0051357C" w:rsidP="00D20217" w14:paraId="1F8FF5CA" w14:textId="77777777">
      <w:pPr>
        <w:pStyle w:val="ListParagraph"/>
        <w:numPr>
          <w:ilvl w:val="0"/>
          <w:numId w:val="5"/>
        </w:numPr>
        <w:bidi w:val="0"/>
        <w:jc w:val="both"/>
        <w:rPr>
          <w:rFonts w:eastAsia="Calibri" w:asciiTheme="majorHAnsi" w:hAnsiTheme="majorHAnsi" w:cstheme="majorBidi"/>
          <w:sz w:val="22"/>
          <w:szCs w:val="22"/>
          <w:lang w:val="en-GB" w:eastAsia="nl-NL" w:bidi="nl-NL"/>
        </w:rPr>
      </w:pPr>
      <w:r w:rsidRPr="0051357C">
        <w:rPr>
          <w:rFonts w:eastAsia="Calibri" w:asciiTheme="majorHAnsi" w:hAnsiTheme="majorHAnsi" w:cstheme="majorBidi"/>
          <w:sz w:val="22"/>
          <w:szCs w:val="22"/>
          <w:rtl w:val="0"/>
          <w:lang w:val="es" w:eastAsia="nl-NL" w:bidi="nl-NL"/>
        </w:rPr>
        <w:t>Ninguna misión debe prolongarse más de 12 meses.</w:t>
      </w:r>
    </w:p>
    <w:p w:rsidR="007A1771" w:rsidRPr="0051357C" w:rsidP="00D20217" w14:paraId="70D5155B" w14:textId="208E5DC0">
      <w:pPr>
        <w:pStyle w:val="ListParagraph"/>
        <w:numPr>
          <w:ilvl w:val="0"/>
          <w:numId w:val="5"/>
        </w:numPr>
        <w:bidi w:val="0"/>
        <w:jc w:val="both"/>
        <w:rPr>
          <w:rFonts w:eastAsia="Calibri" w:asciiTheme="majorHAnsi" w:hAnsiTheme="majorHAnsi" w:cstheme="majorBidi"/>
          <w:sz w:val="22"/>
          <w:szCs w:val="22"/>
          <w:lang w:val="en-GB" w:eastAsia="nl-NL" w:bidi="nl-NL"/>
        </w:rPr>
      </w:pPr>
      <w:r w:rsidRPr="0051357C">
        <w:rPr>
          <w:rFonts w:eastAsia="Calibri" w:asciiTheme="majorHAnsi" w:hAnsiTheme="majorHAnsi" w:cstheme="majorBidi"/>
          <w:sz w:val="22"/>
          <w:szCs w:val="22"/>
          <w:rtl w:val="0"/>
          <w:lang w:val="es" w:eastAsia="nl-NL" w:bidi="nl-NL"/>
        </w:rPr>
        <w:t>Los trabajadores temporales contratados a través de una empresa de trabajo temporal deben ser entrevistados por la empresa.</w:t>
      </w:r>
    </w:p>
    <w:p w:rsidR="007A1771" w:rsidRPr="0051357C" w:rsidP="00D20217" w14:paraId="39A12F22" w14:textId="77777777">
      <w:pPr>
        <w:pStyle w:val="ListParagraph"/>
        <w:numPr>
          <w:ilvl w:val="0"/>
          <w:numId w:val="5"/>
        </w:numPr>
        <w:bidi w:val="0"/>
        <w:jc w:val="both"/>
        <w:rPr>
          <w:rFonts w:eastAsia="Calibri" w:asciiTheme="majorHAnsi" w:hAnsiTheme="majorHAnsi" w:cstheme="majorBidi"/>
          <w:sz w:val="22"/>
          <w:szCs w:val="22"/>
          <w:lang w:val="en-GB" w:eastAsia="nl-NL" w:bidi="nl-NL"/>
        </w:rPr>
      </w:pPr>
      <w:r w:rsidRPr="0051357C">
        <w:rPr>
          <w:rFonts w:eastAsia="Calibri" w:asciiTheme="majorHAnsi" w:hAnsiTheme="majorHAnsi" w:cstheme="majorBidi"/>
          <w:sz w:val="22"/>
          <w:szCs w:val="22"/>
          <w:rtl w:val="0"/>
          <w:lang w:val="es" w:eastAsia="nl-NL" w:bidi="nl-NL"/>
        </w:rPr>
        <w:t>Las agencias que proporcionan mano de obra temporal deben gestionar todos los asuntos relacionados con el salario, las vacaciones, el tiempo libre, las bajas por enfermedad, el rendimiento y el desarrollo profesional.</w:t>
      </w:r>
    </w:p>
    <w:p w:rsidR="007A1771" w:rsidRPr="0051357C" w:rsidP="00D20217" w14:paraId="7799F48E" w14:textId="65F574B0">
      <w:pPr>
        <w:pStyle w:val="ListParagraph"/>
        <w:numPr>
          <w:ilvl w:val="0"/>
          <w:numId w:val="5"/>
        </w:numPr>
        <w:bidi w:val="0"/>
        <w:jc w:val="both"/>
        <w:rPr>
          <w:rFonts w:eastAsia="Calibri" w:asciiTheme="majorHAnsi" w:hAnsiTheme="majorHAnsi" w:cstheme="majorBidi"/>
          <w:sz w:val="22"/>
          <w:szCs w:val="22"/>
          <w:lang w:val="en-GB" w:eastAsia="nl-NL" w:bidi="nl-NL"/>
        </w:rPr>
      </w:pPr>
      <w:r w:rsidRPr="0051357C">
        <w:rPr>
          <w:rFonts w:eastAsia="Calibri" w:asciiTheme="majorHAnsi" w:hAnsiTheme="majorHAnsi" w:cstheme="majorBidi"/>
          <w:sz w:val="22"/>
          <w:szCs w:val="22"/>
          <w:rtl w:val="0"/>
          <w:lang w:val="es" w:eastAsia="nl-NL" w:bidi="nl-NL"/>
        </w:rPr>
        <w:t>Los contratistas independientes son responsables de todas las implicaciones fiscales y retenciones resultantes de su trabajo con Brink's.</w:t>
      </w:r>
    </w:p>
    <w:p w:rsidR="007A1771" w:rsidP="00D20217" w14:paraId="6847D72E" w14:textId="49418F33">
      <w:pPr>
        <w:pStyle w:val="ListParagraph"/>
        <w:numPr>
          <w:ilvl w:val="0"/>
          <w:numId w:val="5"/>
        </w:numPr>
        <w:bidi w:val="0"/>
        <w:jc w:val="both"/>
        <w:rPr>
          <w:rFonts w:eastAsia="Calibri" w:asciiTheme="majorHAnsi" w:hAnsiTheme="majorHAnsi" w:cstheme="majorBidi"/>
          <w:sz w:val="22"/>
          <w:szCs w:val="22"/>
          <w:lang w:val="en-GB" w:eastAsia="nl-NL" w:bidi="nl-NL"/>
        </w:rPr>
      </w:pPr>
      <w:r w:rsidRPr="0051357C">
        <w:rPr>
          <w:rFonts w:eastAsia="Calibri" w:asciiTheme="majorHAnsi" w:hAnsiTheme="majorHAnsi" w:cstheme="majorBidi"/>
          <w:sz w:val="22"/>
          <w:szCs w:val="22"/>
          <w:rtl w:val="0"/>
          <w:lang w:val="es" w:eastAsia="nl-NL" w:bidi="nl-NL"/>
        </w:rPr>
        <w:t>Los trabajadores eventuales deben identificarse como tales en su tarjeta de identificación, firmas de correo electrónico, listas de teléfonos, organigramas, en Microsoft Outlook, etc.</w:t>
      </w:r>
    </w:p>
    <w:p w:rsidR="00836DB9" w:rsidRPr="0051357C" w:rsidP="00D20217" w14:paraId="198BA202" w14:textId="0A9E707C">
      <w:pPr>
        <w:pStyle w:val="ListParagraph"/>
        <w:numPr>
          <w:ilvl w:val="0"/>
          <w:numId w:val="5"/>
        </w:numPr>
        <w:bidi w:val="0"/>
        <w:jc w:val="both"/>
        <w:rPr>
          <w:rFonts w:eastAsia="Calibri" w:asciiTheme="majorHAnsi" w:hAnsiTheme="majorHAnsi" w:cstheme="majorBidi"/>
          <w:sz w:val="22"/>
          <w:szCs w:val="22"/>
          <w:lang w:val="en-GB" w:eastAsia="nl-NL" w:bidi="nl-NL"/>
        </w:rPr>
      </w:pPr>
      <w:r>
        <w:rPr>
          <w:rFonts w:eastAsia="Calibri" w:asciiTheme="majorHAnsi" w:hAnsiTheme="majorHAnsi" w:cstheme="majorBidi"/>
          <w:sz w:val="22"/>
          <w:szCs w:val="22"/>
          <w:rtl w:val="0"/>
          <w:lang w:val="es" w:eastAsia="nl-NL" w:bidi="nl-NL"/>
        </w:rPr>
        <w:t>Los trabajadores eventuales no deben recibir un título interno de Brink's</w:t>
      </w:r>
    </w:p>
    <w:p w:rsidR="007A1771" w:rsidP="00D20217" w14:paraId="2716F99F" w14:textId="651E0B83">
      <w:pPr>
        <w:pStyle w:val="ListParagraph"/>
        <w:numPr>
          <w:ilvl w:val="0"/>
          <w:numId w:val="5"/>
        </w:numPr>
        <w:bidi w:val="0"/>
        <w:jc w:val="both"/>
        <w:rPr>
          <w:rFonts w:eastAsia="Calibri" w:asciiTheme="majorHAnsi" w:hAnsiTheme="majorHAnsi" w:cstheme="majorBidi"/>
          <w:sz w:val="22"/>
          <w:szCs w:val="22"/>
          <w:lang w:val="en-GB" w:eastAsia="nl-NL" w:bidi="nl-NL"/>
        </w:rPr>
      </w:pPr>
      <w:r w:rsidRPr="0051357C">
        <w:rPr>
          <w:rFonts w:eastAsia="Calibri" w:asciiTheme="majorHAnsi" w:hAnsiTheme="majorHAnsi" w:cstheme="majorBidi"/>
          <w:sz w:val="22"/>
          <w:szCs w:val="22"/>
          <w:rtl w:val="0"/>
          <w:lang w:val="es" w:eastAsia="nl-NL" w:bidi="nl-NL"/>
        </w:rPr>
        <w:t>Los trabajadores eventuales sólo deben ser invitados a las reuniones de la empresa cuando sea necesario.</w:t>
      </w:r>
    </w:p>
    <w:p w:rsidR="007A1771" w:rsidRPr="0051357C" w:rsidP="6B3824FD" w14:paraId="245716F8" w14:textId="41DC5DC8">
      <w:pPr>
        <w:pStyle w:val="ListParagraph"/>
        <w:numPr>
          <w:ilvl w:val="0"/>
          <w:numId w:val="5"/>
        </w:numPr>
        <w:bidi w:val="0"/>
        <w:jc w:val="both"/>
        <w:rPr>
          <w:rFonts w:eastAsia="Calibri" w:asciiTheme="majorHAnsi" w:hAnsiTheme="majorHAnsi" w:cstheme="majorBidi"/>
          <w:sz w:val="22"/>
          <w:szCs w:val="22"/>
          <w:lang w:val="en-GB" w:eastAsia="nl-NL" w:bidi="nl-NL"/>
        </w:rPr>
      </w:pPr>
      <w:r w:rsidRPr="6B3824FD">
        <w:rPr>
          <w:rFonts w:asciiTheme="majorHAnsi" w:hAnsiTheme="majorHAnsi" w:cstheme="majorBidi"/>
          <w:sz w:val="22"/>
          <w:szCs w:val="22"/>
          <w:rtl w:val="0"/>
          <w:lang w:val="es"/>
        </w:rPr>
        <w:t>Los trabajadores eventuales no deben asistir a actos de la empresa, cursos de formación o eventos externos.</w:t>
      </w:r>
    </w:p>
    <w:p w:rsidR="0059487B" w:rsidP="007A1771" w14:paraId="7B6E47E8" w14:textId="77777777">
      <w:pPr>
        <w:jc w:val="both"/>
        <w:rPr>
          <w:rFonts w:eastAsia="Calibri" w:asciiTheme="majorHAnsi" w:hAnsiTheme="majorHAnsi" w:cstheme="majorBidi"/>
          <w:sz w:val="22"/>
          <w:szCs w:val="22"/>
          <w:lang w:eastAsia="nl-NL" w:bidi="nl-NL"/>
        </w:rPr>
      </w:pPr>
    </w:p>
    <w:p w:rsidR="00786AC3" w:rsidRPr="0051357C" w:rsidP="007A1771" w14:paraId="1FCAF5E0" w14:textId="60B15879">
      <w:pPr>
        <w:bidi w:val="0"/>
        <w:jc w:val="both"/>
        <w:rPr>
          <w:rFonts w:eastAsia="Calibri" w:asciiTheme="majorHAnsi" w:hAnsiTheme="majorHAnsi" w:cstheme="majorBidi"/>
          <w:sz w:val="22"/>
          <w:szCs w:val="22"/>
          <w:lang w:eastAsia="nl-NL" w:bidi="nl-NL"/>
        </w:rPr>
      </w:pPr>
      <w:r>
        <w:rPr>
          <w:rFonts w:eastAsia="Calibri" w:asciiTheme="majorHAnsi" w:hAnsiTheme="majorHAnsi" w:cstheme="majorBidi"/>
          <w:sz w:val="22"/>
          <w:szCs w:val="22"/>
          <w:rtl w:val="0"/>
          <w:lang w:val="es" w:eastAsia="nl-NL" w:bidi="nl-NL"/>
        </w:rPr>
        <w:t>Cualquier excepción a lo anterior deberá ser aprobada por el Departamento Jurídico.</w:t>
      </w:r>
    </w:p>
    <w:p w:rsidR="00851A67" w:rsidRPr="0051357C" w:rsidP="0051357C" w14:paraId="2213E55B" w14:textId="77777777">
      <w:pPr>
        <w:pStyle w:val="Heading3"/>
        <w:numPr>
          <w:ilvl w:val="0"/>
          <w:numId w:val="0"/>
        </w:numPr>
        <w:bidi w:val="0"/>
        <w:jc w:val="both"/>
        <w:rPr>
          <w:rFonts w:eastAsia="Calibri"/>
          <w:i/>
          <w:iCs/>
          <w:color w:val="auto"/>
          <w:sz w:val="22"/>
          <w:szCs w:val="22"/>
          <w:lang w:eastAsia="nl-NL" w:bidi="nl-NL"/>
        </w:rPr>
      </w:pPr>
      <w:bookmarkEnd w:id="100"/>
      <w:bookmarkStart w:id="101" w:name="_Toc256000026"/>
      <w:r w:rsidRPr="0051357C">
        <w:rPr>
          <w:rFonts w:eastAsia="Calibri"/>
          <w:i/>
          <w:iCs/>
          <w:color w:val="auto"/>
          <w:sz w:val="22"/>
          <w:szCs w:val="22"/>
          <w:rtl w:val="0"/>
          <w:lang w:val="es" w:eastAsia="nl-NL" w:bidi="nl-NL"/>
        </w:rPr>
        <w:t>Instrucciones de embarque</w:t>
      </w:r>
      <w:bookmarkEnd w:id="101"/>
    </w:p>
    <w:p w:rsidR="00851A67" w:rsidRPr="0051357C" w:rsidP="6B3824FD" w14:paraId="2D36F5A0" w14:textId="4CF8A3CD">
      <w:pPr>
        <w:bidi w:val="0"/>
        <w:jc w:val="both"/>
        <w:rPr>
          <w:rFonts w:eastAsia="Calibri" w:asciiTheme="majorHAnsi" w:hAnsiTheme="majorHAnsi" w:cstheme="majorBidi"/>
          <w:sz w:val="22"/>
          <w:szCs w:val="22"/>
          <w:lang w:eastAsia="nl-NL" w:bidi="nl-NL"/>
        </w:rPr>
      </w:pPr>
      <w:r w:rsidRPr="6B3824FD">
        <w:rPr>
          <w:rFonts w:eastAsia="Calibri" w:asciiTheme="majorHAnsi" w:hAnsiTheme="majorHAnsi" w:cstheme="majorBidi"/>
          <w:sz w:val="22"/>
          <w:szCs w:val="22"/>
          <w:rtl w:val="0"/>
          <w:lang w:val="es" w:eastAsia="nl-NL" w:bidi="nl-NL"/>
        </w:rPr>
        <w:t>La investigación de antecedentes que se llevará a cabo antes de incorporar al trabajador eventual se realizará de acuerdo con la legislación local y la política aplicable de la empresa. Se proporcionará a los trabajadores eventuales todo el equipo necesario (por ejemplo, ordenadores portátiles).</w:t>
      </w:r>
    </w:p>
    <w:p w:rsidR="00851A67" w:rsidRPr="0051357C" w:rsidP="0051357C" w14:paraId="3079D8DD" w14:textId="77777777">
      <w:pPr>
        <w:pStyle w:val="Heading3"/>
        <w:numPr>
          <w:ilvl w:val="0"/>
          <w:numId w:val="0"/>
        </w:numPr>
        <w:bidi w:val="0"/>
        <w:jc w:val="both"/>
        <w:rPr>
          <w:rFonts w:eastAsia="Calibri"/>
          <w:i/>
          <w:iCs/>
          <w:color w:val="auto"/>
          <w:sz w:val="22"/>
          <w:szCs w:val="22"/>
          <w:lang w:eastAsia="nl-NL" w:bidi="nl-NL"/>
        </w:rPr>
      </w:pPr>
      <w:bookmarkStart w:id="102" w:name="_Toc256000027"/>
      <w:r w:rsidRPr="0051357C">
        <w:rPr>
          <w:rFonts w:eastAsia="Calibri"/>
          <w:i/>
          <w:iCs/>
          <w:color w:val="auto"/>
          <w:sz w:val="22"/>
          <w:szCs w:val="22"/>
          <w:rtl w:val="0"/>
          <w:lang w:val="es" w:eastAsia="nl-NL" w:bidi="nl-NL"/>
        </w:rPr>
        <w:t>Plazo de preaviso</w:t>
      </w:r>
      <w:bookmarkEnd w:id="102"/>
      <w:r w:rsidRPr="0051357C">
        <w:rPr>
          <w:rFonts w:eastAsia="Calibri"/>
          <w:i/>
          <w:iCs/>
          <w:color w:val="auto"/>
          <w:sz w:val="22"/>
          <w:szCs w:val="22"/>
          <w:rtl w:val="0"/>
          <w:lang w:val="es" w:eastAsia="nl-NL" w:bidi="nl-NL"/>
        </w:rPr>
        <w:t xml:space="preserve"> </w:t>
      </w:r>
    </w:p>
    <w:p w:rsidR="00851A67" w:rsidRPr="0051357C" w:rsidP="6B3824FD" w14:paraId="754DA01E" w14:textId="2A3BBC1A">
      <w:pPr>
        <w:bidi w:val="0"/>
        <w:jc w:val="both"/>
        <w:rPr>
          <w:rFonts w:eastAsia="Calibri" w:asciiTheme="majorHAnsi" w:hAnsiTheme="majorHAnsi" w:cstheme="majorBidi"/>
          <w:sz w:val="22"/>
          <w:szCs w:val="22"/>
          <w:lang w:eastAsia="nl-NL" w:bidi="nl-NL"/>
        </w:rPr>
      </w:pPr>
      <w:r w:rsidRPr="6B3824FD">
        <w:rPr>
          <w:rFonts w:eastAsia="Calibri" w:asciiTheme="majorHAnsi" w:hAnsiTheme="majorHAnsi" w:cstheme="majorBidi"/>
          <w:sz w:val="22"/>
          <w:szCs w:val="22"/>
          <w:rtl w:val="0"/>
          <w:lang w:val="es" w:eastAsia="nl-NL" w:bidi="nl-NL"/>
        </w:rPr>
        <w:t xml:space="preserve">Para el procedimiento de incorporación, el Trabajador Contingente está sujeto a la duración mínima legal de la legislación de cada país. </w:t>
      </w:r>
    </w:p>
    <w:p w:rsidR="00851A67" w:rsidRPr="0051357C" w:rsidP="0051357C" w14:paraId="3E04A6F8" w14:textId="77777777">
      <w:pPr>
        <w:pStyle w:val="Heading3"/>
        <w:numPr>
          <w:ilvl w:val="0"/>
          <w:numId w:val="0"/>
        </w:numPr>
        <w:bidi w:val="0"/>
        <w:jc w:val="both"/>
        <w:rPr>
          <w:rFonts w:eastAsia="Calibri"/>
          <w:i/>
          <w:iCs/>
          <w:color w:val="auto"/>
          <w:sz w:val="22"/>
          <w:szCs w:val="22"/>
          <w:lang w:eastAsia="nl-NL" w:bidi="nl-NL"/>
        </w:rPr>
      </w:pPr>
      <w:bookmarkStart w:id="103" w:name="_Toc256000028"/>
      <w:r w:rsidRPr="0051357C">
        <w:rPr>
          <w:rFonts w:eastAsia="Calibri"/>
          <w:i/>
          <w:iCs/>
          <w:color w:val="auto"/>
          <w:sz w:val="22"/>
          <w:szCs w:val="22"/>
          <w:rtl w:val="0"/>
          <w:lang w:val="es" w:eastAsia="nl-NL" w:bidi="nl-NL"/>
        </w:rPr>
        <w:t>Transferencias temporales a permanentes (temp2perm)</w:t>
      </w:r>
      <w:bookmarkEnd w:id="103"/>
    </w:p>
    <w:p w:rsidR="00851A67" w:rsidRPr="0051357C" w:rsidP="00851A67" w14:paraId="623318CE" w14:textId="3CFE2F11">
      <w:pPr>
        <w:bidi w:val="0"/>
        <w:jc w:val="both"/>
        <w:rPr>
          <w:rFonts w:eastAsia="Calibri" w:asciiTheme="majorHAnsi" w:hAnsiTheme="majorHAnsi" w:cstheme="majorBidi"/>
          <w:sz w:val="22"/>
          <w:szCs w:val="22"/>
          <w:lang w:eastAsia="nl-NL" w:bidi="nl-NL"/>
        </w:rPr>
      </w:pPr>
      <w:r>
        <w:rPr>
          <w:rFonts w:eastAsia="Calibri" w:asciiTheme="majorHAnsi" w:hAnsiTheme="majorHAnsi" w:cstheme="majorBidi"/>
          <w:sz w:val="22"/>
          <w:szCs w:val="22"/>
          <w:rtl w:val="0"/>
          <w:lang w:val="es" w:eastAsia="nl-NL" w:bidi="nl-NL"/>
        </w:rPr>
        <w:t xml:space="preserve">Excepto en el caso de los Trabajadores Contingentes autónomos, como los freelancers, todas las asignaciones de trabajadores contingentes deben tener una cláusula de temporal a permanente, en la que Brink's tiene la posibilidad de ofrecer a los trabajadores un puesto permanente después de un tiempo determinado. </w:t>
      </w:r>
    </w:p>
    <w:p w:rsidR="0036756B" w:rsidRPr="00593902" w:rsidP="00820532" w14:paraId="6ADCCF0A" w14:textId="4C865D92">
      <w:pPr>
        <w:pStyle w:val="Heading1"/>
        <w:bidi w:val="0"/>
        <w:rPr>
          <w:rFonts w:cstheme="majorHAnsi"/>
          <w:color w:val="auto"/>
        </w:rPr>
      </w:pPr>
      <w:bookmarkStart w:id="104" w:name="_Toc256000029"/>
      <w:r w:rsidRPr="00593902">
        <w:rPr>
          <w:rFonts w:cstheme="majorHAnsi"/>
          <w:color w:val="auto"/>
          <w:rtl w:val="0"/>
          <w:lang w:val="es"/>
        </w:rPr>
        <w:t>FUNCIONES Y RESPONSABILIDADES</w:t>
      </w:r>
      <w:bookmarkEnd w:id="104"/>
    </w:p>
    <w:p w:rsidR="006C341A" w:rsidRPr="0074239A" w:rsidP="006C341A" w14:paraId="76F5FC2F" w14:textId="77777777">
      <w:pPr>
        <w:rPr>
          <w:rFonts w:asciiTheme="majorHAnsi" w:hAnsiTheme="majorHAnsi" w:cstheme="majorHAnsi"/>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0"/>
        <w:gridCol w:w="6480"/>
      </w:tblGrid>
      <w:tr w14:paraId="420F7786" w14:textId="77777777" w:rsidTr="6B3824FD">
        <w:tblPrEx>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4050" w:type="dxa"/>
            <w:shd w:val="clear" w:color="auto" w:fill="BCD3EE"/>
            <w:vAlign w:val="center"/>
            <w:hideMark/>
          </w:tcPr>
          <w:p w:rsidR="006C341A" w:rsidRPr="0074239A" w:rsidP="6B3824FD" w14:paraId="1A4CF6DB" w14:textId="77777777">
            <w:pPr>
              <w:bidi w:val="0"/>
              <w:jc w:val="center"/>
              <w:rPr>
                <w:rFonts w:asciiTheme="majorHAnsi" w:hAnsiTheme="majorHAnsi" w:cstheme="majorBidi"/>
                <w:b/>
                <w:bCs/>
                <w:color w:val="000000"/>
                <w:sz w:val="22"/>
                <w:szCs w:val="22"/>
              </w:rPr>
            </w:pPr>
            <w:r w:rsidRPr="6B3824FD">
              <w:rPr>
                <w:rFonts w:asciiTheme="majorHAnsi" w:hAnsiTheme="majorHAnsi" w:cstheme="majorBidi"/>
                <w:b/>
                <w:bCs/>
                <w:color w:val="000000" w:themeColor="text1"/>
                <w:sz w:val="22"/>
                <w:szCs w:val="22"/>
                <w:rtl w:val="0"/>
                <w:lang w:val="es"/>
              </w:rPr>
              <w:t>Responsable</w:t>
            </w:r>
          </w:p>
        </w:tc>
        <w:tc>
          <w:tcPr>
            <w:tcW w:w="6480" w:type="dxa"/>
            <w:shd w:val="clear" w:color="auto" w:fill="BCD3EE"/>
            <w:vAlign w:val="center"/>
            <w:hideMark/>
          </w:tcPr>
          <w:p w:rsidR="006C341A" w:rsidRPr="0074239A" w:rsidP="00E74EF7" w14:paraId="15A6FB9D" w14:textId="77777777">
            <w:pPr>
              <w:bidi w:val="0"/>
              <w:jc w:val="center"/>
              <w:rPr>
                <w:rFonts w:asciiTheme="majorHAnsi" w:hAnsiTheme="majorHAnsi" w:cstheme="majorHAnsi"/>
                <w:b/>
                <w:bCs/>
                <w:color w:val="000000"/>
                <w:sz w:val="22"/>
                <w:szCs w:val="22"/>
              </w:rPr>
            </w:pPr>
            <w:r w:rsidRPr="0074239A">
              <w:rPr>
                <w:rFonts w:asciiTheme="majorHAnsi" w:hAnsiTheme="majorHAnsi" w:cstheme="majorHAnsi"/>
                <w:b/>
                <w:bCs/>
                <w:color w:val="000000"/>
                <w:sz w:val="22"/>
                <w:szCs w:val="22"/>
                <w:rtl w:val="0"/>
                <w:lang w:val="es"/>
              </w:rPr>
              <w:t>Detalles</w:t>
            </w:r>
          </w:p>
        </w:tc>
      </w:tr>
      <w:tr w14:paraId="2EA03914" w14:textId="77777777" w:rsidTr="6B3824FD">
        <w:tblPrEx>
          <w:tblW w:w="10530" w:type="dxa"/>
          <w:tblInd w:w="-5" w:type="dxa"/>
          <w:tblLook w:val="04A0"/>
        </w:tblPrEx>
        <w:trPr>
          <w:trHeight w:val="629"/>
        </w:trPr>
        <w:tc>
          <w:tcPr>
            <w:tcW w:w="4050" w:type="dxa"/>
            <w:shd w:val="clear" w:color="auto" w:fill="auto"/>
            <w:vAlign w:val="center"/>
            <w:hideMark/>
          </w:tcPr>
          <w:p w:rsidR="006C341A" w:rsidRPr="0074239A" w:rsidP="00E74EF7" w14:paraId="66692013" w14:textId="14CC9538">
            <w:pPr>
              <w:bidi w:val="0"/>
              <w:rPr>
                <w:rFonts w:asciiTheme="majorHAnsi" w:hAnsiTheme="majorHAnsi" w:cstheme="majorHAnsi"/>
                <w:b/>
                <w:bCs/>
                <w:color w:val="000000"/>
                <w:sz w:val="22"/>
                <w:szCs w:val="22"/>
              </w:rPr>
            </w:pPr>
            <w:r>
              <w:rPr>
                <w:rFonts w:asciiTheme="majorHAnsi" w:hAnsiTheme="majorHAnsi" w:cstheme="majorHAnsi"/>
                <w:b/>
                <w:bCs/>
                <w:color w:val="000000"/>
                <w:sz w:val="22"/>
                <w:szCs w:val="22"/>
                <w:rtl w:val="0"/>
                <w:lang w:val="es"/>
              </w:rPr>
              <w:t>Director de Unidad de Negocio o Director de Contratación</w:t>
            </w:r>
          </w:p>
        </w:tc>
        <w:tc>
          <w:tcPr>
            <w:tcW w:w="6480" w:type="dxa"/>
            <w:shd w:val="clear" w:color="auto" w:fill="auto"/>
            <w:vAlign w:val="center"/>
            <w:hideMark/>
          </w:tcPr>
          <w:p w:rsidR="006C341A" w:rsidRPr="0074239A" w:rsidP="6B3824FD" w14:paraId="6A007548" w14:textId="1EDCB281">
            <w:pPr>
              <w:bidi w:val="0"/>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tl w:val="0"/>
                <w:lang w:val="es"/>
              </w:rPr>
              <w:t>Procesos de gestión, selección y contratación relacionados con los empleados eventuales</w:t>
            </w:r>
          </w:p>
        </w:tc>
      </w:tr>
      <w:tr w14:paraId="424622EC" w14:textId="77777777" w:rsidTr="6B3824FD">
        <w:tblPrEx>
          <w:tblW w:w="10530" w:type="dxa"/>
          <w:tblInd w:w="-5" w:type="dxa"/>
          <w:tblLook w:val="04A0"/>
        </w:tblPrEx>
        <w:trPr>
          <w:trHeight w:val="440"/>
        </w:trPr>
        <w:tc>
          <w:tcPr>
            <w:tcW w:w="4050" w:type="dxa"/>
            <w:shd w:val="clear" w:color="auto" w:fill="auto"/>
            <w:vAlign w:val="center"/>
            <w:hideMark/>
          </w:tcPr>
          <w:p w:rsidR="006C341A" w:rsidRPr="0074239A" w:rsidP="00E74EF7" w14:paraId="53BA79A6" w14:textId="77777777">
            <w:pPr>
              <w:bidi w:val="0"/>
              <w:rPr>
                <w:rFonts w:asciiTheme="majorHAnsi" w:hAnsiTheme="majorHAnsi" w:cstheme="majorHAnsi"/>
                <w:b/>
                <w:bCs/>
                <w:color w:val="000000"/>
                <w:sz w:val="22"/>
                <w:szCs w:val="22"/>
              </w:rPr>
            </w:pPr>
            <w:r w:rsidRPr="0074239A">
              <w:rPr>
                <w:rFonts w:asciiTheme="majorHAnsi" w:hAnsiTheme="majorHAnsi" w:cstheme="majorHAnsi"/>
                <w:b/>
                <w:bCs/>
                <w:color w:val="000000"/>
                <w:sz w:val="22"/>
                <w:szCs w:val="22"/>
                <w:rtl w:val="0"/>
                <w:lang w:val="es"/>
              </w:rPr>
              <w:t>Aprovisionamiento estratégico</w:t>
            </w:r>
          </w:p>
        </w:tc>
        <w:tc>
          <w:tcPr>
            <w:tcW w:w="6480" w:type="dxa"/>
            <w:shd w:val="clear" w:color="auto" w:fill="auto"/>
            <w:vAlign w:val="center"/>
            <w:hideMark/>
          </w:tcPr>
          <w:p w:rsidR="006C341A" w:rsidRPr="0074239A" w:rsidP="6B3824FD" w14:paraId="33D9B6CA" w14:textId="13B8AF0C">
            <w:pPr>
              <w:bidi w:val="0"/>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tl w:val="0"/>
                <w:lang w:val="es"/>
              </w:rPr>
              <w:t>Contratación, negociación e interacción con los proveedores interesados</w:t>
            </w:r>
          </w:p>
        </w:tc>
      </w:tr>
      <w:tr w14:paraId="1DB9FE8B" w14:textId="77777777" w:rsidTr="6B3824FD">
        <w:tblPrEx>
          <w:tblW w:w="10530" w:type="dxa"/>
          <w:tblInd w:w="-5" w:type="dxa"/>
          <w:tblLook w:val="04A0"/>
        </w:tblPrEx>
        <w:trPr>
          <w:trHeight w:val="530"/>
        </w:trPr>
        <w:tc>
          <w:tcPr>
            <w:tcW w:w="4050" w:type="dxa"/>
            <w:shd w:val="clear" w:color="auto" w:fill="auto"/>
            <w:vAlign w:val="center"/>
            <w:hideMark/>
          </w:tcPr>
          <w:p w:rsidR="006C341A" w:rsidRPr="0074239A" w:rsidP="00E74EF7" w14:paraId="17B692C6" w14:textId="77777777">
            <w:pPr>
              <w:bidi w:val="0"/>
              <w:rPr>
                <w:rFonts w:asciiTheme="majorHAnsi" w:hAnsiTheme="majorHAnsi" w:cstheme="majorHAnsi"/>
                <w:b/>
                <w:bCs/>
                <w:color w:val="000000"/>
                <w:sz w:val="22"/>
                <w:szCs w:val="22"/>
              </w:rPr>
            </w:pPr>
            <w:r w:rsidRPr="0074239A">
              <w:rPr>
                <w:rFonts w:asciiTheme="majorHAnsi" w:hAnsiTheme="majorHAnsi" w:cstheme="majorHAnsi"/>
                <w:b/>
                <w:bCs/>
                <w:color w:val="000000"/>
                <w:sz w:val="22"/>
                <w:szCs w:val="22"/>
                <w:rtl w:val="0"/>
                <w:lang w:val="es"/>
              </w:rPr>
              <w:t>Equipos de recursos humanos y contratación estratégica</w:t>
            </w:r>
          </w:p>
        </w:tc>
        <w:tc>
          <w:tcPr>
            <w:tcW w:w="6480" w:type="dxa"/>
            <w:shd w:val="clear" w:color="auto" w:fill="auto"/>
            <w:vAlign w:val="center"/>
            <w:hideMark/>
          </w:tcPr>
          <w:p w:rsidR="006C341A" w:rsidRPr="0074239A" w:rsidP="6B3824FD" w14:paraId="52298401" w14:textId="2F200AF8">
            <w:pPr>
              <w:bidi w:val="0"/>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tl w:val="0"/>
                <w:lang w:val="es"/>
              </w:rPr>
              <w:t>Mantenimiento y gobernanza de las políticas</w:t>
            </w:r>
          </w:p>
        </w:tc>
      </w:tr>
      <w:tr w14:paraId="2F96DC99" w14:textId="77777777" w:rsidTr="6B3824FD">
        <w:tblPrEx>
          <w:tblW w:w="10530" w:type="dxa"/>
          <w:tblInd w:w="-5" w:type="dxa"/>
          <w:tblLook w:val="04A0"/>
        </w:tblPrEx>
        <w:trPr>
          <w:trHeight w:val="440"/>
        </w:trPr>
        <w:tc>
          <w:tcPr>
            <w:tcW w:w="4050" w:type="dxa"/>
            <w:shd w:val="clear" w:color="auto" w:fill="auto"/>
            <w:vAlign w:val="center"/>
            <w:hideMark/>
          </w:tcPr>
          <w:p w:rsidR="006C341A" w:rsidRPr="0074239A" w:rsidP="6B3824FD" w14:paraId="0366EEB8" w14:textId="31A91327">
            <w:pPr>
              <w:bidi w:val="0"/>
              <w:rPr>
                <w:rFonts w:asciiTheme="majorHAnsi" w:hAnsiTheme="majorHAnsi" w:cstheme="majorBidi"/>
                <w:b/>
                <w:bCs/>
                <w:color w:val="000000"/>
                <w:sz w:val="22"/>
                <w:szCs w:val="22"/>
              </w:rPr>
            </w:pPr>
            <w:r w:rsidRPr="6B3824FD">
              <w:rPr>
                <w:rFonts w:asciiTheme="majorHAnsi" w:hAnsiTheme="majorHAnsi" w:cstheme="majorBidi"/>
                <w:b/>
                <w:bCs/>
                <w:color w:val="000000" w:themeColor="text1"/>
                <w:sz w:val="22"/>
                <w:szCs w:val="22"/>
                <w:rtl w:val="0"/>
                <w:lang w:val="es"/>
              </w:rPr>
              <w:t>Equipo directivo global de RR.HH. y jurídico</w:t>
            </w:r>
          </w:p>
        </w:tc>
        <w:tc>
          <w:tcPr>
            <w:tcW w:w="6480" w:type="dxa"/>
            <w:shd w:val="clear" w:color="auto" w:fill="auto"/>
            <w:vAlign w:val="center"/>
            <w:hideMark/>
          </w:tcPr>
          <w:p w:rsidR="006C341A" w:rsidRPr="0074239A" w:rsidP="6B3824FD" w14:paraId="1EE0C29E" w14:textId="7E6082E7">
            <w:pPr>
              <w:bidi w:val="0"/>
              <w:rPr>
                <w:rFonts w:asciiTheme="majorHAnsi" w:hAnsiTheme="majorHAnsi" w:cstheme="majorBidi"/>
                <w:color w:val="000000"/>
                <w:sz w:val="22"/>
                <w:szCs w:val="22"/>
              </w:rPr>
            </w:pPr>
            <w:r w:rsidRPr="6B3824FD">
              <w:rPr>
                <w:rFonts w:asciiTheme="majorHAnsi" w:hAnsiTheme="majorHAnsi" w:cstheme="majorBidi"/>
                <w:color w:val="000000" w:themeColor="text1"/>
                <w:sz w:val="22"/>
                <w:szCs w:val="22"/>
                <w:rtl w:val="0"/>
                <w:lang w:val="es"/>
              </w:rPr>
              <w:t>Aprobación de la política global; aprobación de las desviaciones de la política</w:t>
            </w:r>
          </w:p>
        </w:tc>
      </w:tr>
    </w:tbl>
    <w:p w:rsidR="006C341A" w:rsidRPr="0074239A" w:rsidP="006C341A" w14:paraId="76F97431" w14:textId="77777777">
      <w:pPr>
        <w:jc w:val="both"/>
        <w:rPr>
          <w:rFonts w:asciiTheme="majorHAnsi" w:hAnsiTheme="majorHAnsi" w:cstheme="majorHAnsi"/>
          <w:lang w:eastAsia="nl-NL" w:bidi="nl-NL"/>
        </w:rPr>
      </w:pPr>
    </w:p>
    <w:p w:rsidR="006C341A" w:rsidRPr="0051357C" w:rsidP="006C341A" w14:paraId="6DBEB811" w14:textId="03361EBC">
      <w:pPr>
        <w:bidi w:val="0"/>
        <w:jc w:val="both"/>
        <w:rPr>
          <w:rFonts w:asciiTheme="majorHAnsi" w:hAnsiTheme="majorHAnsi" w:cstheme="majorBidi"/>
          <w:sz w:val="22"/>
          <w:szCs w:val="22"/>
          <w:lang w:eastAsia="nl-NL" w:bidi="nl-NL"/>
        </w:rPr>
      </w:pPr>
      <w:r>
        <w:rPr>
          <w:rFonts w:asciiTheme="majorHAnsi" w:hAnsiTheme="majorHAnsi" w:cstheme="majorBidi"/>
          <w:sz w:val="22"/>
          <w:szCs w:val="22"/>
          <w:rtl w:val="0"/>
          <w:lang w:val="es" w:eastAsia="nl-NL" w:bidi="nl-NL"/>
        </w:rPr>
        <w:t>Las escaladas de política deben dirigirse a: Angela Gambaro, Vicepresidenta de Adquisición Global de Talentos.</w:t>
      </w:r>
    </w:p>
    <w:p w:rsidR="00355B9F" w:rsidRPr="0074239A" w:rsidP="006C341A" w14:paraId="18E3F5FF" w14:textId="77777777">
      <w:pPr>
        <w:jc w:val="both"/>
        <w:rPr>
          <w:rFonts w:asciiTheme="majorHAnsi" w:hAnsiTheme="majorHAnsi" w:cstheme="majorHAnsi"/>
          <w:sz w:val="22"/>
          <w:szCs w:val="22"/>
          <w:lang w:eastAsia="nl-NL" w:bidi="nl-NL"/>
        </w:rPr>
      </w:pPr>
    </w:p>
    <w:p w:rsidR="00355B9F" w:rsidRPr="0074239A" w:rsidP="00355B9F" w14:paraId="6F58F62B" w14:textId="77777777">
      <w:pPr>
        <w:bidi w:val="0"/>
        <w:spacing w:after="240"/>
        <w:rPr>
          <w:rFonts w:asciiTheme="majorHAnsi" w:hAnsiTheme="majorHAnsi" w:cstheme="majorHAnsi"/>
          <w:sz w:val="22"/>
          <w:szCs w:val="22"/>
        </w:rPr>
      </w:pPr>
      <w:r w:rsidRPr="0074239A">
        <w:rPr>
          <w:rFonts w:asciiTheme="majorHAnsi" w:hAnsiTheme="majorHAnsi" w:cstheme="majorHAnsi"/>
          <w:sz w:val="22"/>
          <w:szCs w:val="22"/>
          <w:rtl w:val="0"/>
          <w:lang w:val="es"/>
        </w:rPr>
        <w:t xml:space="preserve">A continuación se enumeran los miembros del equipo de contratación estratégica global: </w:t>
      </w:r>
    </w:p>
    <w:tbl>
      <w:tblPr>
        <w:tblStyle w:val="TableGrid"/>
        <w:tblW w:w="10315" w:type="dxa"/>
        <w:tblLook w:val="04A0"/>
      </w:tblPr>
      <w:tblGrid>
        <w:gridCol w:w="1885"/>
        <w:gridCol w:w="3090"/>
        <w:gridCol w:w="5340"/>
      </w:tblGrid>
      <w:tr w14:paraId="0B531E58" w14:textId="77777777" w:rsidTr="3F806670">
        <w:tblPrEx>
          <w:tblW w:w="10315" w:type="dxa"/>
          <w:tblLook w:val="04A0"/>
        </w:tblPrEx>
        <w:trPr>
          <w:trHeight w:val="353"/>
        </w:trPr>
        <w:tc>
          <w:tcPr>
            <w:tcW w:w="1885" w:type="dxa"/>
            <w:shd w:val="clear" w:color="auto" w:fill="BCD3EE"/>
          </w:tcPr>
          <w:p w:rsidR="00723B0B" w:rsidRPr="00593902" w:rsidP="00E74EF7" w14:paraId="042647DB" w14:textId="1FB5EF0B">
            <w:pPr>
              <w:bidi w:val="0"/>
              <w:jc w:val="center"/>
              <w:rPr>
                <w:rFonts w:asciiTheme="majorHAnsi" w:hAnsiTheme="majorHAnsi" w:cstheme="majorHAnsi"/>
                <w:b/>
              </w:rPr>
            </w:pPr>
            <w:r w:rsidRPr="00593902">
              <w:rPr>
                <w:rFonts w:asciiTheme="majorHAnsi" w:hAnsiTheme="majorHAnsi" w:cstheme="majorHAnsi"/>
                <w:b/>
                <w:rtl w:val="0"/>
                <w:lang w:val="es"/>
              </w:rPr>
              <w:t>País</w:t>
            </w:r>
          </w:p>
        </w:tc>
        <w:tc>
          <w:tcPr>
            <w:tcW w:w="3090" w:type="dxa"/>
            <w:shd w:val="clear" w:color="auto" w:fill="BCD3EE"/>
            <w:vAlign w:val="center"/>
          </w:tcPr>
          <w:p w:rsidR="00723B0B" w:rsidRPr="00593902" w:rsidP="00E74EF7" w14:paraId="42E8CCC0" w14:textId="1DF96862">
            <w:pPr>
              <w:bidi w:val="0"/>
              <w:jc w:val="center"/>
              <w:rPr>
                <w:rFonts w:asciiTheme="majorHAnsi" w:hAnsiTheme="majorHAnsi" w:cstheme="majorHAnsi"/>
                <w:b/>
              </w:rPr>
            </w:pPr>
            <w:r w:rsidRPr="00593902">
              <w:rPr>
                <w:rFonts w:asciiTheme="majorHAnsi" w:hAnsiTheme="majorHAnsi" w:cstheme="majorHAnsi"/>
                <w:b/>
                <w:rtl w:val="0"/>
                <w:lang w:val="es"/>
              </w:rPr>
              <w:t>Nombre</w:t>
            </w:r>
          </w:p>
        </w:tc>
        <w:tc>
          <w:tcPr>
            <w:tcW w:w="5340" w:type="dxa"/>
            <w:shd w:val="clear" w:color="auto" w:fill="BCD3EE"/>
            <w:vAlign w:val="center"/>
          </w:tcPr>
          <w:p w:rsidR="00723B0B" w:rsidRPr="00593902" w:rsidP="00E74EF7" w14:paraId="443A4AC4" w14:textId="77777777">
            <w:pPr>
              <w:bidi w:val="0"/>
              <w:jc w:val="center"/>
              <w:rPr>
                <w:rFonts w:asciiTheme="majorHAnsi" w:hAnsiTheme="majorHAnsi" w:cstheme="majorHAnsi"/>
                <w:b/>
              </w:rPr>
            </w:pPr>
            <w:r w:rsidRPr="00593902">
              <w:rPr>
                <w:rFonts w:asciiTheme="majorHAnsi" w:hAnsiTheme="majorHAnsi" w:cstheme="majorHAnsi"/>
                <w:b/>
                <w:rtl w:val="0"/>
                <w:lang w:val="es"/>
              </w:rPr>
              <w:t>Correo electrónico</w:t>
            </w:r>
          </w:p>
        </w:tc>
      </w:tr>
      <w:tr w14:paraId="6193D3EA" w14:textId="77777777" w:rsidTr="3F806670">
        <w:tblPrEx>
          <w:tblW w:w="10315" w:type="dxa"/>
          <w:tblLook w:val="04A0"/>
        </w:tblPrEx>
        <w:trPr>
          <w:trHeight w:val="353"/>
        </w:trPr>
        <w:tc>
          <w:tcPr>
            <w:tcW w:w="1885" w:type="dxa"/>
          </w:tcPr>
          <w:p w:rsidR="00723B0B" w:rsidP="00484EE0" w14:paraId="1C9593B9" w14:textId="1E4ED097">
            <w:pPr>
              <w:bidi w:val="0"/>
              <w:jc w:val="center"/>
              <w:rPr>
                <w:rFonts w:asciiTheme="majorHAnsi" w:hAnsiTheme="majorHAnsi" w:cstheme="majorHAnsi"/>
              </w:rPr>
            </w:pPr>
            <w:r>
              <w:rPr>
                <w:rFonts w:asciiTheme="majorHAnsi" w:hAnsiTheme="majorHAnsi" w:cstheme="majorHAnsi"/>
                <w:rtl w:val="0"/>
                <w:lang w:val="es"/>
              </w:rPr>
              <w:t>US</w:t>
            </w:r>
          </w:p>
        </w:tc>
        <w:tc>
          <w:tcPr>
            <w:tcW w:w="3090" w:type="dxa"/>
            <w:vAlign w:val="center"/>
          </w:tcPr>
          <w:p w:rsidR="00723B0B" w:rsidRPr="0074239A" w:rsidP="00484EE0" w14:paraId="0EBFC0FB" w14:textId="208800DB">
            <w:pPr>
              <w:bidi w:val="0"/>
              <w:jc w:val="center"/>
              <w:rPr>
                <w:rFonts w:asciiTheme="majorHAnsi" w:hAnsiTheme="majorHAnsi" w:cstheme="majorHAnsi"/>
              </w:rPr>
            </w:pPr>
            <w:r>
              <w:rPr>
                <w:rFonts w:asciiTheme="majorHAnsi" w:hAnsiTheme="majorHAnsi" w:cstheme="majorHAnsi"/>
                <w:rtl w:val="0"/>
                <w:lang w:val="es"/>
              </w:rPr>
              <w:t>Hugh Mouden</w:t>
            </w:r>
          </w:p>
        </w:tc>
        <w:tc>
          <w:tcPr>
            <w:tcW w:w="5340" w:type="dxa"/>
            <w:vAlign w:val="center"/>
          </w:tcPr>
          <w:p w:rsidR="00723B0B" w:rsidRPr="0074239A" w:rsidP="00484EE0" w14:paraId="5B1C23BC" w14:textId="64C0FC41">
            <w:pPr>
              <w:bidi w:val="0"/>
              <w:jc w:val="center"/>
              <w:rPr>
                <w:rFonts w:asciiTheme="majorHAnsi" w:hAnsiTheme="majorHAnsi" w:cstheme="majorHAnsi"/>
              </w:rPr>
            </w:pPr>
            <w:r w:rsidRPr="00F03037">
              <w:rPr>
                <w:rFonts w:asciiTheme="majorHAnsi" w:hAnsiTheme="majorHAnsi" w:cstheme="majorHAnsi"/>
                <w:rtl w:val="0"/>
                <w:lang w:val="es"/>
              </w:rPr>
              <w:t>hugh.mouden@brinksinc.com</w:t>
            </w:r>
          </w:p>
        </w:tc>
      </w:tr>
      <w:tr w14:paraId="17ED6D52" w14:textId="77777777" w:rsidTr="3F806670">
        <w:tblPrEx>
          <w:tblW w:w="10315" w:type="dxa"/>
          <w:tblLook w:val="04A0"/>
        </w:tblPrEx>
        <w:trPr>
          <w:trHeight w:val="353"/>
        </w:trPr>
        <w:tc>
          <w:tcPr>
            <w:tcW w:w="1885" w:type="dxa"/>
          </w:tcPr>
          <w:p w:rsidR="00723B0B" w:rsidRPr="0074239A" w:rsidP="0051357C" w14:paraId="2FB16E5F" w14:textId="30AB6701">
            <w:pPr>
              <w:bidi w:val="0"/>
              <w:jc w:val="center"/>
              <w:rPr>
                <w:rFonts w:asciiTheme="majorHAnsi" w:hAnsiTheme="majorHAnsi" w:cstheme="majorHAnsi"/>
              </w:rPr>
            </w:pPr>
            <w:r>
              <w:rPr>
                <w:rFonts w:asciiTheme="majorHAnsi" w:hAnsiTheme="majorHAnsi" w:cstheme="majorHAnsi"/>
                <w:rtl w:val="0"/>
                <w:lang w:val="es"/>
              </w:rPr>
              <w:t>Francia</w:t>
            </w:r>
          </w:p>
        </w:tc>
        <w:tc>
          <w:tcPr>
            <w:tcW w:w="3090" w:type="dxa"/>
            <w:vAlign w:val="center"/>
          </w:tcPr>
          <w:p w:rsidR="00723B0B" w:rsidRPr="0074239A" w:rsidP="0051357C" w14:paraId="7F359211" w14:textId="4CCB5FA8">
            <w:pPr>
              <w:bidi w:val="0"/>
              <w:jc w:val="center"/>
              <w:rPr>
                <w:rFonts w:asciiTheme="majorHAnsi" w:hAnsiTheme="majorHAnsi" w:cstheme="majorHAnsi"/>
              </w:rPr>
            </w:pPr>
            <w:r>
              <w:rPr>
                <w:rFonts w:asciiTheme="majorHAnsi" w:hAnsiTheme="majorHAnsi" w:cstheme="majorHAnsi"/>
                <w:rtl w:val="0"/>
                <w:lang w:val="es"/>
              </w:rPr>
              <w:t>Petronela Skorkova</w:t>
            </w:r>
          </w:p>
        </w:tc>
        <w:tc>
          <w:tcPr>
            <w:tcW w:w="5340" w:type="dxa"/>
            <w:vAlign w:val="center"/>
          </w:tcPr>
          <w:p w:rsidR="00723B0B" w:rsidRPr="0074239A" w:rsidP="00484EE0" w14:paraId="1C4B8301" w14:textId="294A6116">
            <w:pPr>
              <w:bidi w:val="0"/>
              <w:jc w:val="center"/>
              <w:rPr>
                <w:rFonts w:asciiTheme="majorHAnsi" w:hAnsiTheme="majorHAnsi" w:cstheme="majorHAnsi"/>
              </w:rPr>
            </w:pPr>
            <w:r w:rsidRPr="00723B0B">
              <w:rPr>
                <w:rFonts w:asciiTheme="majorHAnsi" w:hAnsiTheme="majorHAnsi" w:cstheme="majorHAnsi"/>
                <w:rtl w:val="0"/>
                <w:lang w:val="es"/>
              </w:rPr>
              <w:t>p.skorkova@brinks.fr</w:t>
            </w:r>
          </w:p>
        </w:tc>
      </w:tr>
      <w:tr w14:paraId="286C64E2" w14:textId="77777777" w:rsidTr="3F806670">
        <w:tblPrEx>
          <w:tblW w:w="10315" w:type="dxa"/>
          <w:tblLook w:val="04A0"/>
        </w:tblPrEx>
        <w:trPr>
          <w:trHeight w:val="353"/>
        </w:trPr>
        <w:tc>
          <w:tcPr>
            <w:tcW w:w="1885" w:type="dxa"/>
          </w:tcPr>
          <w:p w:rsidR="00723B0B" w:rsidRPr="0074239A" w:rsidP="0051357C" w14:paraId="0E93F776" w14:textId="3432AA4D">
            <w:pPr>
              <w:bidi w:val="0"/>
              <w:jc w:val="center"/>
              <w:rPr>
                <w:rFonts w:asciiTheme="majorHAnsi" w:hAnsiTheme="majorHAnsi" w:cstheme="majorHAnsi"/>
              </w:rPr>
            </w:pPr>
            <w:r>
              <w:rPr>
                <w:rFonts w:asciiTheme="majorHAnsi" w:hAnsiTheme="majorHAnsi" w:cstheme="majorHAnsi"/>
                <w:rtl w:val="0"/>
                <w:lang w:val="es"/>
              </w:rPr>
              <w:t>Países Bajos</w:t>
            </w:r>
          </w:p>
        </w:tc>
        <w:tc>
          <w:tcPr>
            <w:tcW w:w="3090" w:type="dxa"/>
            <w:vAlign w:val="center"/>
          </w:tcPr>
          <w:p w:rsidR="00723B0B" w:rsidRPr="0074239A" w:rsidP="0051357C" w14:paraId="0A879FDC" w14:textId="343E4B2B">
            <w:pPr>
              <w:bidi w:val="0"/>
              <w:jc w:val="center"/>
              <w:rPr>
                <w:rFonts w:asciiTheme="majorHAnsi" w:hAnsiTheme="majorHAnsi" w:cstheme="majorHAnsi"/>
              </w:rPr>
            </w:pPr>
            <w:r>
              <w:rPr>
                <w:rFonts w:asciiTheme="majorHAnsi" w:hAnsiTheme="majorHAnsi" w:cstheme="majorHAnsi"/>
                <w:rtl w:val="0"/>
                <w:lang w:val="es"/>
              </w:rPr>
              <w:t>Mohamed Barry</w:t>
            </w:r>
          </w:p>
        </w:tc>
        <w:tc>
          <w:tcPr>
            <w:tcW w:w="5340" w:type="dxa"/>
            <w:vAlign w:val="center"/>
          </w:tcPr>
          <w:p w:rsidR="00723B0B" w:rsidRPr="0074239A" w:rsidP="00484EE0" w14:paraId="482AAE45" w14:textId="4213879D">
            <w:pPr>
              <w:bidi w:val="0"/>
              <w:jc w:val="center"/>
              <w:rPr>
                <w:rFonts w:asciiTheme="majorHAnsi" w:hAnsiTheme="majorHAnsi" w:cstheme="majorHAnsi"/>
              </w:rPr>
            </w:pPr>
            <w:r w:rsidRPr="00484EE0">
              <w:rPr>
                <w:rFonts w:asciiTheme="majorHAnsi" w:hAnsiTheme="majorHAnsi" w:cstheme="majorHAnsi"/>
                <w:rtl w:val="0"/>
                <w:lang w:val="es"/>
              </w:rPr>
              <w:t>mohamed.barry@brinks.com</w:t>
            </w:r>
          </w:p>
        </w:tc>
      </w:tr>
      <w:tr w14:paraId="113556F5" w14:textId="77777777" w:rsidTr="3F806670">
        <w:tblPrEx>
          <w:tblW w:w="10315" w:type="dxa"/>
          <w:tblLook w:val="04A0"/>
        </w:tblPrEx>
        <w:trPr>
          <w:trHeight w:val="353"/>
        </w:trPr>
        <w:tc>
          <w:tcPr>
            <w:tcW w:w="1885" w:type="dxa"/>
          </w:tcPr>
          <w:p w:rsidR="00484EE0" w:rsidP="00484EE0" w14:paraId="36E178DF" w14:textId="08564D46">
            <w:pPr>
              <w:bidi w:val="0"/>
              <w:jc w:val="center"/>
              <w:rPr>
                <w:rFonts w:asciiTheme="majorHAnsi" w:hAnsiTheme="majorHAnsi" w:cstheme="majorHAnsi"/>
              </w:rPr>
            </w:pPr>
            <w:r>
              <w:rPr>
                <w:rFonts w:asciiTheme="majorHAnsi" w:hAnsiTheme="majorHAnsi" w:cstheme="majorHAnsi"/>
                <w:rtl w:val="0"/>
                <w:lang w:val="es"/>
              </w:rPr>
              <w:t>Rumanía</w:t>
            </w:r>
          </w:p>
        </w:tc>
        <w:tc>
          <w:tcPr>
            <w:tcW w:w="3090" w:type="dxa"/>
            <w:vAlign w:val="center"/>
          </w:tcPr>
          <w:p w:rsidR="00484EE0" w:rsidP="00484EE0" w14:paraId="02E6CFE4" w14:textId="598B20CD">
            <w:pPr>
              <w:bidi w:val="0"/>
              <w:jc w:val="center"/>
              <w:rPr>
                <w:rFonts w:asciiTheme="majorHAnsi" w:hAnsiTheme="majorHAnsi" w:cstheme="majorHAnsi"/>
              </w:rPr>
            </w:pPr>
            <w:r>
              <w:rPr>
                <w:rFonts w:asciiTheme="majorHAnsi" w:hAnsiTheme="majorHAnsi" w:cstheme="majorHAnsi"/>
                <w:rtl w:val="0"/>
                <w:lang w:val="es"/>
              </w:rPr>
              <w:t>Raluca Miron</w:t>
            </w:r>
          </w:p>
        </w:tc>
        <w:tc>
          <w:tcPr>
            <w:tcW w:w="5340" w:type="dxa"/>
            <w:vAlign w:val="center"/>
          </w:tcPr>
          <w:p w:rsidR="00484EE0" w:rsidRPr="00484EE0" w:rsidP="00484EE0" w14:paraId="6BC21F3D" w14:textId="59A9B045">
            <w:pPr>
              <w:bidi w:val="0"/>
              <w:jc w:val="center"/>
              <w:rPr>
                <w:rFonts w:asciiTheme="majorHAnsi" w:hAnsiTheme="majorHAnsi" w:cstheme="majorHAnsi"/>
              </w:rPr>
            </w:pPr>
            <w:r w:rsidRPr="001F5235">
              <w:rPr>
                <w:rFonts w:asciiTheme="majorHAnsi" w:hAnsiTheme="majorHAnsi" w:cstheme="majorHAnsi"/>
                <w:rtl w:val="0"/>
                <w:lang w:val="es"/>
              </w:rPr>
              <w:t>raluca.miron@brinks.com</w:t>
            </w:r>
          </w:p>
        </w:tc>
      </w:tr>
      <w:tr w14:paraId="22E85B7F" w14:textId="77777777" w:rsidTr="3F806670">
        <w:tblPrEx>
          <w:tblW w:w="10315" w:type="dxa"/>
          <w:tblLook w:val="04A0"/>
        </w:tblPrEx>
        <w:trPr>
          <w:trHeight w:val="353"/>
        </w:trPr>
        <w:tc>
          <w:tcPr>
            <w:tcW w:w="1885" w:type="dxa"/>
          </w:tcPr>
          <w:p w:rsidR="008B6C09" w:rsidP="005F53F9" w14:paraId="63324D16" w14:textId="1CA23EBD">
            <w:pPr>
              <w:bidi w:val="0"/>
              <w:jc w:val="center"/>
              <w:rPr>
                <w:rFonts w:asciiTheme="majorHAnsi" w:hAnsiTheme="majorHAnsi" w:cstheme="majorHAnsi"/>
              </w:rPr>
            </w:pPr>
            <w:r>
              <w:rPr>
                <w:rFonts w:asciiTheme="majorHAnsi" w:hAnsiTheme="majorHAnsi" w:cstheme="majorHAnsi"/>
                <w:rtl w:val="0"/>
                <w:lang w:val="es"/>
              </w:rPr>
              <w:t>República Checa</w:t>
            </w:r>
          </w:p>
        </w:tc>
        <w:tc>
          <w:tcPr>
            <w:tcW w:w="3090" w:type="dxa"/>
            <w:vAlign w:val="center"/>
          </w:tcPr>
          <w:p w:rsidR="008B6C09" w:rsidP="00484EE0" w14:paraId="1BC42F05" w14:textId="14736D2F">
            <w:pPr>
              <w:bidi w:val="0"/>
              <w:jc w:val="center"/>
              <w:rPr>
                <w:rFonts w:asciiTheme="majorHAnsi" w:hAnsiTheme="majorHAnsi" w:cstheme="majorHAnsi"/>
              </w:rPr>
            </w:pPr>
            <w:r>
              <w:rPr>
                <w:rFonts w:asciiTheme="majorHAnsi" w:hAnsiTheme="majorHAnsi" w:cstheme="majorHAnsi"/>
                <w:rtl w:val="0"/>
                <w:lang w:val="es"/>
              </w:rPr>
              <w:t>Petr Zbozinek</w:t>
            </w:r>
          </w:p>
        </w:tc>
        <w:tc>
          <w:tcPr>
            <w:tcW w:w="5340" w:type="dxa"/>
            <w:vAlign w:val="center"/>
          </w:tcPr>
          <w:p w:rsidR="008B6C09" w:rsidRPr="00484EE0" w:rsidP="00484EE0" w14:paraId="504C871E" w14:textId="5E980B3D">
            <w:pPr>
              <w:bidi w:val="0"/>
              <w:jc w:val="center"/>
              <w:rPr>
                <w:rFonts w:asciiTheme="majorHAnsi" w:hAnsiTheme="majorHAnsi" w:cstheme="majorHAnsi"/>
              </w:rPr>
            </w:pPr>
            <w:r w:rsidRPr="00091223">
              <w:rPr>
                <w:rFonts w:asciiTheme="majorHAnsi" w:hAnsiTheme="majorHAnsi" w:cstheme="majorHAnsi"/>
                <w:rtl w:val="0"/>
                <w:lang w:val="es"/>
              </w:rPr>
              <w:t>petr.zbozinek@brinks.com</w:t>
            </w:r>
          </w:p>
        </w:tc>
      </w:tr>
      <w:tr w14:paraId="04C01C4D" w14:textId="77777777" w:rsidTr="3F806670">
        <w:tblPrEx>
          <w:tblW w:w="10315" w:type="dxa"/>
          <w:tblLook w:val="04A0"/>
        </w:tblPrEx>
        <w:trPr>
          <w:trHeight w:val="353"/>
        </w:trPr>
        <w:tc>
          <w:tcPr>
            <w:tcW w:w="1885" w:type="dxa"/>
          </w:tcPr>
          <w:p w:rsidR="00F67881" w:rsidP="00484EE0" w14:paraId="3F6453A2" w14:textId="5B856BE3">
            <w:pPr>
              <w:bidi w:val="0"/>
              <w:jc w:val="center"/>
              <w:rPr>
                <w:rFonts w:asciiTheme="majorHAnsi" w:hAnsiTheme="majorHAnsi" w:cstheme="majorHAnsi"/>
              </w:rPr>
            </w:pPr>
            <w:r>
              <w:rPr>
                <w:rFonts w:asciiTheme="majorHAnsi" w:hAnsiTheme="majorHAnsi" w:cstheme="majorHAnsi"/>
                <w:rtl w:val="0"/>
                <w:lang w:val="es"/>
              </w:rPr>
              <w:t>Brasil</w:t>
            </w:r>
          </w:p>
        </w:tc>
        <w:tc>
          <w:tcPr>
            <w:tcW w:w="3090" w:type="dxa"/>
            <w:vAlign w:val="center"/>
          </w:tcPr>
          <w:p w:rsidR="00F67881" w:rsidP="00484EE0" w14:paraId="06E94346" w14:textId="7F2F5865">
            <w:pPr>
              <w:bidi w:val="0"/>
              <w:jc w:val="center"/>
              <w:rPr>
                <w:rFonts w:asciiTheme="majorHAnsi" w:hAnsiTheme="majorHAnsi" w:cstheme="majorHAnsi"/>
              </w:rPr>
            </w:pPr>
            <w:r>
              <w:rPr>
                <w:rFonts w:asciiTheme="majorHAnsi" w:hAnsiTheme="majorHAnsi" w:cstheme="majorHAnsi"/>
                <w:rtl w:val="0"/>
                <w:lang w:val="es"/>
              </w:rPr>
              <w:t>Adriano Bronzatto</w:t>
            </w:r>
          </w:p>
        </w:tc>
        <w:tc>
          <w:tcPr>
            <w:tcW w:w="5340" w:type="dxa"/>
            <w:vAlign w:val="center"/>
          </w:tcPr>
          <w:p w:rsidR="00F67881" w:rsidRPr="00484EE0" w:rsidP="00484EE0" w14:paraId="3DC68A9A" w14:textId="56580080">
            <w:pPr>
              <w:bidi w:val="0"/>
              <w:jc w:val="center"/>
              <w:rPr>
                <w:rFonts w:asciiTheme="majorHAnsi" w:hAnsiTheme="majorHAnsi" w:cstheme="majorHAnsi"/>
              </w:rPr>
            </w:pPr>
            <w:r w:rsidRPr="00AA4693">
              <w:rPr>
                <w:rFonts w:asciiTheme="majorHAnsi" w:hAnsiTheme="majorHAnsi" w:cstheme="majorHAnsi"/>
                <w:rtl w:val="0"/>
                <w:lang w:val="es"/>
              </w:rPr>
              <w:t>adriano.bronzatto@brinks.com.br</w:t>
            </w:r>
          </w:p>
        </w:tc>
      </w:tr>
      <w:tr w14:paraId="42D3D8EA" w14:textId="77777777" w:rsidTr="3F806670">
        <w:tblPrEx>
          <w:tblW w:w="10315" w:type="dxa"/>
          <w:tblLook w:val="04A0"/>
        </w:tblPrEx>
        <w:trPr>
          <w:trHeight w:val="353"/>
        </w:trPr>
        <w:tc>
          <w:tcPr>
            <w:tcW w:w="1885" w:type="dxa"/>
          </w:tcPr>
          <w:p w:rsidR="00F67881" w:rsidP="00484EE0" w14:paraId="7B7D7274" w14:textId="1072AFEA">
            <w:pPr>
              <w:bidi w:val="0"/>
              <w:jc w:val="center"/>
              <w:rPr>
                <w:rFonts w:asciiTheme="majorHAnsi" w:hAnsiTheme="majorHAnsi" w:cstheme="majorHAnsi"/>
              </w:rPr>
            </w:pPr>
            <w:r>
              <w:rPr>
                <w:rFonts w:asciiTheme="majorHAnsi" w:hAnsiTheme="majorHAnsi" w:cstheme="majorHAnsi"/>
                <w:rtl w:val="0"/>
                <w:lang w:val="es"/>
              </w:rPr>
              <w:t>Colombia</w:t>
            </w:r>
          </w:p>
        </w:tc>
        <w:tc>
          <w:tcPr>
            <w:tcW w:w="3090" w:type="dxa"/>
            <w:vAlign w:val="center"/>
          </w:tcPr>
          <w:p w:rsidR="00F67881" w:rsidP="00484EE0" w14:paraId="169CC0BB" w14:textId="22F2411F">
            <w:pPr>
              <w:bidi w:val="0"/>
              <w:jc w:val="center"/>
              <w:rPr>
                <w:rFonts w:asciiTheme="majorHAnsi" w:hAnsiTheme="majorHAnsi" w:cstheme="majorHAnsi"/>
              </w:rPr>
            </w:pPr>
            <w:r>
              <w:rPr>
                <w:rFonts w:asciiTheme="majorHAnsi" w:hAnsiTheme="majorHAnsi" w:cstheme="majorHAnsi"/>
                <w:rtl w:val="0"/>
                <w:lang w:val="es"/>
              </w:rPr>
              <w:t>Erika Rodríguez</w:t>
            </w:r>
          </w:p>
        </w:tc>
        <w:tc>
          <w:tcPr>
            <w:tcW w:w="5340" w:type="dxa"/>
            <w:vAlign w:val="center"/>
          </w:tcPr>
          <w:p w:rsidR="00F67881" w:rsidRPr="00484EE0" w:rsidP="3F806670" w14:paraId="169A91B0" w14:textId="60824281">
            <w:pPr>
              <w:bidi w:val="0"/>
              <w:jc w:val="center"/>
              <w:rPr>
                <w:rFonts w:asciiTheme="majorHAnsi" w:hAnsiTheme="majorHAnsi" w:cstheme="majorBidi"/>
              </w:rPr>
            </w:pPr>
            <w:r w:rsidRPr="3F806670">
              <w:rPr>
                <w:rFonts w:asciiTheme="majorHAnsi" w:hAnsiTheme="majorHAnsi" w:cstheme="majorBidi"/>
                <w:rtl w:val="0"/>
                <w:lang w:val="es"/>
              </w:rPr>
              <w:t>erika.rodriguez@brinks.com.com</w:t>
            </w:r>
          </w:p>
        </w:tc>
      </w:tr>
      <w:tr w14:paraId="7B5E2649" w14:textId="77777777" w:rsidTr="3F806670">
        <w:tblPrEx>
          <w:tblW w:w="10315" w:type="dxa"/>
          <w:tblLook w:val="04A0"/>
        </w:tblPrEx>
        <w:trPr>
          <w:trHeight w:val="197"/>
        </w:trPr>
        <w:tc>
          <w:tcPr>
            <w:tcW w:w="1885" w:type="dxa"/>
          </w:tcPr>
          <w:p w:rsidR="002B0A60" w:rsidP="00CF447D" w14:paraId="76BEDE5C" w14:textId="303EABB9">
            <w:pPr>
              <w:bidi w:val="0"/>
              <w:jc w:val="center"/>
              <w:rPr>
                <w:rFonts w:asciiTheme="majorHAnsi" w:hAnsiTheme="majorHAnsi" w:cstheme="majorHAnsi"/>
              </w:rPr>
            </w:pPr>
            <w:r>
              <w:rPr>
                <w:rFonts w:asciiTheme="majorHAnsi" w:hAnsiTheme="majorHAnsi" w:cstheme="majorHAnsi"/>
                <w:rtl w:val="0"/>
                <w:lang w:val="es"/>
              </w:rPr>
              <w:t>Chile</w:t>
            </w:r>
          </w:p>
        </w:tc>
        <w:tc>
          <w:tcPr>
            <w:tcW w:w="3090" w:type="dxa"/>
            <w:vAlign w:val="center"/>
          </w:tcPr>
          <w:p w:rsidR="002B0A60" w:rsidP="00484EE0" w14:paraId="136575FF" w14:textId="284C8279">
            <w:pPr>
              <w:bidi w:val="0"/>
              <w:jc w:val="center"/>
              <w:rPr>
                <w:rFonts w:asciiTheme="majorHAnsi" w:hAnsiTheme="majorHAnsi" w:cstheme="majorHAnsi"/>
              </w:rPr>
            </w:pPr>
            <w:r w:rsidRPr="00262C88">
              <w:rPr>
                <w:rFonts w:asciiTheme="majorHAnsi" w:hAnsiTheme="majorHAnsi" w:cstheme="majorHAnsi"/>
                <w:rtl w:val="0"/>
                <w:lang w:val="es"/>
              </w:rPr>
              <w:t>Eduardo Varetto Ramos</w:t>
            </w:r>
          </w:p>
        </w:tc>
        <w:tc>
          <w:tcPr>
            <w:tcW w:w="5340" w:type="dxa"/>
            <w:vAlign w:val="center"/>
          </w:tcPr>
          <w:p w:rsidR="002B0A60" w:rsidRPr="00262C88" w:rsidP="00484EE0" w14:paraId="366C7F58" w14:textId="3EE630B6">
            <w:pPr>
              <w:bidi w:val="0"/>
              <w:jc w:val="center"/>
              <w:rPr>
                <w:rFonts w:asciiTheme="majorHAnsi" w:hAnsiTheme="majorHAnsi" w:cstheme="majorHAnsi"/>
              </w:rPr>
            </w:pPr>
            <w:hyperlink r:id="rId11" w:history="1">
              <w:r w:rsidRPr="005F53F9">
                <w:rPr>
                  <w:rFonts w:asciiTheme="majorHAnsi" w:hAnsiTheme="majorHAnsi" w:cstheme="majorHAnsi"/>
                  <w:rtl w:val="0"/>
                  <w:lang w:val="es"/>
                </w:rPr>
                <w:t>EVaretto@brinks.com</w:t>
              </w:r>
            </w:hyperlink>
          </w:p>
        </w:tc>
      </w:tr>
      <w:tr w14:paraId="49EEEE0E" w14:textId="77777777" w:rsidTr="3F806670">
        <w:tblPrEx>
          <w:tblW w:w="10315" w:type="dxa"/>
          <w:tblLook w:val="04A0"/>
        </w:tblPrEx>
        <w:trPr>
          <w:trHeight w:val="353"/>
        </w:trPr>
        <w:tc>
          <w:tcPr>
            <w:tcW w:w="1885" w:type="dxa"/>
          </w:tcPr>
          <w:p w:rsidR="00072C53" w:rsidP="00CF447D" w14:paraId="7EF8515C" w14:textId="65FE69BF">
            <w:pPr>
              <w:bidi w:val="0"/>
              <w:jc w:val="center"/>
              <w:rPr>
                <w:rFonts w:asciiTheme="majorHAnsi" w:hAnsiTheme="majorHAnsi" w:cstheme="majorHAnsi"/>
              </w:rPr>
            </w:pPr>
            <w:r>
              <w:rPr>
                <w:rFonts w:asciiTheme="majorHAnsi" w:hAnsiTheme="majorHAnsi" w:cstheme="majorHAnsi"/>
                <w:rtl w:val="0"/>
                <w:lang w:val="es"/>
              </w:rPr>
              <w:t>México</w:t>
            </w:r>
          </w:p>
        </w:tc>
        <w:tc>
          <w:tcPr>
            <w:tcW w:w="3090" w:type="dxa"/>
            <w:vAlign w:val="center"/>
          </w:tcPr>
          <w:p w:rsidR="00072C53" w:rsidP="00484EE0" w14:paraId="175632BB" w14:textId="0B19DCC2">
            <w:pPr>
              <w:bidi w:val="0"/>
              <w:jc w:val="center"/>
              <w:rPr>
                <w:rFonts w:asciiTheme="majorHAnsi" w:hAnsiTheme="majorHAnsi" w:cstheme="majorHAnsi"/>
              </w:rPr>
            </w:pPr>
            <w:r>
              <w:rPr>
                <w:rFonts w:asciiTheme="majorHAnsi" w:hAnsiTheme="majorHAnsi" w:cstheme="majorHAnsi"/>
                <w:rtl w:val="0"/>
                <w:lang w:val="es"/>
              </w:rPr>
              <w:t>Ricardo Madrazo</w:t>
            </w:r>
          </w:p>
        </w:tc>
        <w:tc>
          <w:tcPr>
            <w:tcW w:w="5340" w:type="dxa"/>
            <w:vAlign w:val="center"/>
          </w:tcPr>
          <w:p w:rsidR="00072C53" w:rsidRPr="00484EE0" w:rsidP="00484EE0" w14:paraId="60E4F098" w14:textId="0AE11C95">
            <w:pPr>
              <w:bidi w:val="0"/>
              <w:jc w:val="center"/>
              <w:rPr>
                <w:rFonts w:asciiTheme="majorHAnsi" w:hAnsiTheme="majorHAnsi" w:cstheme="majorHAnsi"/>
              </w:rPr>
            </w:pPr>
            <w:r w:rsidRPr="00CF447D">
              <w:rPr>
                <w:rFonts w:asciiTheme="majorHAnsi" w:hAnsiTheme="majorHAnsi" w:cstheme="majorHAnsi"/>
                <w:rtl w:val="0"/>
                <w:lang w:val="es"/>
              </w:rPr>
              <w:t>ricardo.madrazod@panamericano.mx</w:t>
            </w:r>
          </w:p>
        </w:tc>
      </w:tr>
    </w:tbl>
    <w:p w:rsidR="00355B9F" w:rsidRPr="00B53FC1" w:rsidP="00B53FC1" w14:paraId="080245CB" w14:textId="787EEADA">
      <w:pPr>
        <w:pStyle w:val="Heading1"/>
        <w:bidi w:val="0"/>
        <w:rPr>
          <w:color w:val="auto"/>
        </w:rPr>
      </w:pPr>
      <w:bookmarkStart w:id="105" w:name="_Toc256000030"/>
      <w:r w:rsidRPr="00B53FC1">
        <w:rPr>
          <w:color w:val="auto"/>
          <w:rtl w:val="0"/>
          <w:lang w:val="es"/>
        </w:rPr>
        <w:t>Directrices de adaptación local</w:t>
      </w:r>
      <w:bookmarkEnd w:id="105"/>
    </w:p>
    <w:p w:rsidR="000B76B4" w:rsidRPr="000B76B4" w:rsidP="000B76B4" w14:paraId="23B442AD" w14:textId="77777777"/>
    <w:p w:rsidR="00DC7C5A" w:rsidP="6B3824FD" w14:paraId="1FB170D1" w14:textId="0499E47E">
      <w:pPr>
        <w:bidi w:val="0"/>
        <w:rPr>
          <w:rFonts w:asciiTheme="majorHAnsi" w:hAnsiTheme="majorHAnsi" w:cstheme="majorBidi"/>
        </w:rPr>
      </w:pPr>
      <w:r w:rsidRPr="6B3824FD">
        <w:rPr>
          <w:rFonts w:asciiTheme="majorHAnsi" w:hAnsiTheme="majorHAnsi" w:cstheme="majorBidi"/>
          <w:rtl w:val="0"/>
          <w:lang w:val="es"/>
        </w:rPr>
        <w:t>Esta política se estableció a escala mundial para crear una normalización en toda la empresa. El objetivo de esta política es proporcionar a todos los países en los que opera Brink's unas directrices generales y unos límites que garanticen una gestión inteligente y disciplinada de los gastos.</w:t>
      </w:r>
    </w:p>
    <w:p w:rsidR="00DC7C5A" w:rsidP="00DC7C5A" w14:paraId="10B430B0" w14:textId="77777777">
      <w:pPr>
        <w:bidi w:val="0"/>
        <w:rPr>
          <w:rFonts w:asciiTheme="majorHAnsi" w:hAnsiTheme="majorHAnsi" w:cstheme="majorHAnsi"/>
        </w:rPr>
      </w:pPr>
      <w:r w:rsidRPr="00DC7C5A">
        <w:rPr>
          <w:rFonts w:asciiTheme="majorHAnsi" w:hAnsiTheme="majorHAnsi" w:cstheme="majorHAnsi"/>
          <w:rtl w:val="0"/>
          <w:lang w:val="es"/>
        </w:rPr>
        <w:br/>
        <w:t>Sin embargo, como parte de la aplicación, es posible que cada país tenga que revisar esta política y proporcionar un contexto adicional sobre cómo se pondrá en práctica para tener en cuenta las variaciones locales. Puede haber escenarios en los que la política global:</w:t>
      </w:r>
    </w:p>
    <w:p w:rsidR="00EE0E28" w:rsidP="00DC7C5A" w14:paraId="747E2A12" w14:textId="77777777">
      <w:pPr>
        <w:rPr>
          <w:rFonts w:asciiTheme="majorHAnsi" w:hAnsiTheme="majorHAnsi" w:cstheme="majorHAnsi"/>
        </w:rPr>
      </w:pPr>
    </w:p>
    <w:p w:rsidR="00DC7C5A" w:rsidRPr="00DC7C5A" w:rsidP="00D20217" w14:paraId="7A9386F3" w14:textId="134A1EA0">
      <w:pPr>
        <w:pStyle w:val="ListParagraph"/>
        <w:numPr>
          <w:ilvl w:val="0"/>
          <w:numId w:val="7"/>
        </w:numPr>
        <w:bidi w:val="0"/>
        <w:rPr>
          <w:rFonts w:asciiTheme="majorHAnsi" w:hAnsiTheme="majorHAnsi" w:cstheme="majorHAnsi"/>
          <w:lang w:val="en-GB"/>
        </w:rPr>
      </w:pPr>
      <w:r w:rsidRPr="00DC7C5A">
        <w:rPr>
          <w:rFonts w:asciiTheme="majorHAnsi" w:hAnsiTheme="majorHAnsi" w:cstheme="majorHAnsi"/>
          <w:rtl w:val="0"/>
          <w:lang w:val="es"/>
        </w:rPr>
        <w:t>conflictos con el cumplimiento de la normativa local</w:t>
      </w:r>
    </w:p>
    <w:p w:rsidR="00DC7C5A" w:rsidRPr="00DC7C5A" w:rsidP="00D20217" w14:paraId="61EDB25B" w14:textId="75BD82D2">
      <w:pPr>
        <w:pStyle w:val="ListParagraph"/>
        <w:numPr>
          <w:ilvl w:val="0"/>
          <w:numId w:val="7"/>
        </w:numPr>
        <w:bidi w:val="0"/>
        <w:rPr>
          <w:rFonts w:asciiTheme="majorHAnsi" w:hAnsiTheme="majorHAnsi" w:cstheme="majorHAnsi"/>
          <w:lang w:val="en-GB"/>
        </w:rPr>
      </w:pPr>
      <w:r w:rsidRPr="00DC7C5A">
        <w:rPr>
          <w:rFonts w:asciiTheme="majorHAnsi" w:hAnsiTheme="majorHAnsi" w:cstheme="majorHAnsi"/>
          <w:rtl w:val="0"/>
          <w:lang w:val="es"/>
        </w:rPr>
        <w:t>sea menos estricta que las prácticas o políticas locales existentes</w:t>
      </w:r>
    </w:p>
    <w:p w:rsidR="006A3873" w:rsidRPr="00DF21BE" w:rsidP="00DF21BE" w14:paraId="6F7E3D3D" w14:textId="3138E51D">
      <w:pPr>
        <w:pStyle w:val="ListParagraph"/>
        <w:numPr>
          <w:ilvl w:val="0"/>
          <w:numId w:val="7"/>
        </w:numPr>
        <w:bidi w:val="0"/>
        <w:rPr>
          <w:lang w:val="en-GB"/>
        </w:rPr>
      </w:pPr>
      <w:r w:rsidRPr="00DC7C5A">
        <w:rPr>
          <w:rFonts w:asciiTheme="majorHAnsi" w:hAnsiTheme="majorHAnsi" w:cstheme="majorHAnsi"/>
          <w:rtl w:val="0"/>
          <w:lang w:val="es"/>
        </w:rPr>
        <w:t>proporciona orientaciones para la operacionalización de los países - por ejemplo, si se requiere la aprobación del VP, cada país puede determinar qué VP específico, o función equivalente, proporcionará esa aprobación.</w:t>
      </w:r>
    </w:p>
    <w:p w:rsidR="008E5867" w:rsidP="00DF21BE" w14:paraId="6EA69033" w14:textId="77777777">
      <w:pPr>
        <w:rPr>
          <w:rFonts w:ascii="Calibri (heading)" w:hAnsi="Calibri (heading)"/>
          <w:lang w:val="en-GB"/>
        </w:rPr>
      </w:pPr>
    </w:p>
    <w:p w:rsidR="00DF21BE" w:rsidP="00DF21BE" w14:paraId="72B5449E" w14:textId="317349EC">
      <w:pPr>
        <w:bidi w:val="0"/>
        <w:rPr>
          <w:rFonts w:ascii="Calibri (heading)" w:hAnsi="Calibri (heading)"/>
          <w:lang w:val="en-GB"/>
        </w:rPr>
      </w:pPr>
      <w:r w:rsidRPr="008E5867">
        <w:rPr>
          <w:rFonts w:ascii="Calibri (heading)" w:hAnsi="Calibri (heading)"/>
          <w:rtl w:val="0"/>
          <w:lang w:val="es"/>
        </w:rPr>
        <w:t>En los casos en que las leyes, políticas o prácticas locales entren en conflicto con la Política Global de Personal Contingente, las leyes locales prevalecerán sobre esta Política.</w:t>
      </w:r>
    </w:p>
    <w:p w:rsidR="0040024C" w:rsidP="0040024C" w14:paraId="5B44A417" w14:textId="77777777">
      <w:pPr>
        <w:pStyle w:val="paragraph"/>
        <w:spacing w:before="0" w:beforeAutospacing="0" w:after="0" w:afterAutospacing="0"/>
        <w:textAlignment w:val="baseline"/>
        <w:rPr>
          <w:rFonts w:ascii="Calibri" w:hAnsi="Calibri" w:cs="Calibri"/>
          <w:b/>
          <w:bCs/>
          <w:sz w:val="28"/>
          <w:szCs w:val="28"/>
        </w:rPr>
      </w:pPr>
    </w:p>
    <w:p w:rsidR="0040024C" w:rsidRPr="002436BF" w:rsidP="00592AE0" w14:paraId="37B55440" w14:textId="76D81904">
      <w:pPr>
        <w:pStyle w:val="Heading2"/>
        <w:numPr>
          <w:ilvl w:val="0"/>
          <w:numId w:val="0"/>
        </w:numPr>
        <w:bidi w:val="0"/>
        <w:rPr>
          <w:color w:val="auto"/>
        </w:rPr>
      </w:pPr>
      <w:bookmarkStart w:id="106" w:name="_Toc256000031"/>
      <w:r w:rsidRPr="002436BF">
        <w:rPr>
          <w:color w:val="auto"/>
          <w:rtl w:val="0"/>
          <w:lang w:val="es"/>
        </w:rPr>
        <w:t>Pasos para la adaptación</w:t>
      </w:r>
      <w:bookmarkEnd w:id="106"/>
    </w:p>
    <w:p w:rsidR="0040024C" w:rsidRPr="00E51450" w:rsidP="00AC3259" w14:paraId="426DDDF0" w14:textId="77777777">
      <w:pPr>
        <w:pStyle w:val="Heading3"/>
        <w:numPr>
          <w:ilvl w:val="0"/>
          <w:numId w:val="0"/>
        </w:numPr>
        <w:bidi w:val="0"/>
        <w:rPr>
          <w:rFonts w:ascii="Calibri" w:hAnsi="Calibri" w:cs="Calibri"/>
          <w:color w:val="auto"/>
        </w:rPr>
      </w:pPr>
      <w:bookmarkStart w:id="107" w:name="_Toc256000032"/>
      <w:r w:rsidRPr="00E51450">
        <w:rPr>
          <w:rFonts w:ascii="Calibri" w:hAnsi="Calibri" w:cs="Calibri"/>
          <w:color w:val="auto"/>
          <w:rtl w:val="0"/>
          <w:lang w:val="es"/>
        </w:rPr>
        <w:t>1. Revisión y evaluación</w:t>
      </w:r>
      <w:bookmarkEnd w:id="107"/>
    </w:p>
    <w:p w:rsidR="0040024C" w:rsidRPr="00E67163" w:rsidP="0040024C" w14:paraId="0BE80CFE" w14:textId="77777777">
      <w:pPr>
        <w:pStyle w:val="paragraph"/>
        <w:numPr>
          <w:ilvl w:val="0"/>
          <w:numId w:val="8"/>
        </w:numPr>
        <w:bidi w:val="0"/>
        <w:spacing w:before="0" w:beforeAutospacing="0" w:after="0" w:afterAutospacing="0"/>
        <w:textAlignment w:val="baseline"/>
        <w:rPr>
          <w:rFonts w:ascii="Calibri" w:hAnsi="Calibri" w:cs="Calibri"/>
        </w:rPr>
      </w:pPr>
      <w:r w:rsidRPr="00E67163">
        <w:rPr>
          <w:rFonts w:ascii="Calibri" w:hAnsi="Calibri" w:cs="Calibri"/>
          <w:rtl w:val="0"/>
          <w:lang w:val="es"/>
        </w:rPr>
        <w:t>Análisis</w:t>
      </w:r>
      <w:r w:rsidRPr="00E67163">
        <w:rPr>
          <w:rFonts w:ascii="Calibri" w:hAnsi="Calibri" w:cs="Calibri"/>
          <w:b/>
          <w:bCs/>
          <w:rtl w:val="0"/>
          <w:lang w:val="es"/>
        </w:rPr>
        <w:t xml:space="preserve"> </w:t>
      </w:r>
      <w:r w:rsidRPr="00E67163">
        <w:rPr>
          <w:rFonts w:ascii="Calibri" w:hAnsi="Calibri" w:cs="Calibri"/>
          <w:rtl w:val="0"/>
          <w:lang w:val="es"/>
        </w:rPr>
        <w:t>de carencias: Identificar las áreas en las que la política global:</w:t>
      </w:r>
    </w:p>
    <w:p w:rsidR="0040024C" w:rsidRPr="00E67163" w:rsidP="0040024C" w14:paraId="604726B7" w14:textId="77777777">
      <w:pPr>
        <w:pStyle w:val="paragraph"/>
        <w:numPr>
          <w:ilvl w:val="1"/>
          <w:numId w:val="8"/>
        </w:numPr>
        <w:bidi w:val="0"/>
        <w:spacing w:before="0" w:beforeAutospacing="0" w:after="0" w:afterAutospacing="0"/>
        <w:textAlignment w:val="baseline"/>
        <w:rPr>
          <w:rFonts w:ascii="Calibri" w:hAnsi="Calibri" w:cs="Calibri"/>
        </w:rPr>
      </w:pPr>
      <w:r w:rsidRPr="00E67163">
        <w:rPr>
          <w:rFonts w:ascii="Calibri" w:hAnsi="Calibri" w:cs="Calibri"/>
          <w:rtl w:val="0"/>
          <w:lang w:val="es"/>
        </w:rPr>
        <w:t>Conflictos con la normativa local.</w:t>
      </w:r>
    </w:p>
    <w:p w:rsidR="0040024C" w:rsidRPr="00E67163" w:rsidP="0040024C" w14:paraId="24A52E66" w14:textId="77777777">
      <w:pPr>
        <w:pStyle w:val="paragraph"/>
        <w:numPr>
          <w:ilvl w:val="1"/>
          <w:numId w:val="8"/>
        </w:numPr>
        <w:bidi w:val="0"/>
        <w:spacing w:before="0" w:beforeAutospacing="0" w:after="0" w:afterAutospacing="0"/>
        <w:textAlignment w:val="baseline"/>
        <w:rPr>
          <w:rFonts w:ascii="Calibri" w:hAnsi="Calibri" w:cs="Calibri"/>
        </w:rPr>
      </w:pPr>
      <w:r w:rsidRPr="00E67163">
        <w:rPr>
          <w:rFonts w:ascii="Calibri" w:hAnsi="Calibri" w:cs="Calibri"/>
          <w:rtl w:val="0"/>
          <w:lang w:val="es"/>
        </w:rPr>
        <w:t>Es menos estricta que las políticas locales existentes.</w:t>
      </w:r>
    </w:p>
    <w:p w:rsidR="0040024C" w:rsidRPr="00E67163" w:rsidP="0040024C" w14:paraId="6FF1B274" w14:textId="77777777">
      <w:pPr>
        <w:pStyle w:val="paragraph"/>
        <w:numPr>
          <w:ilvl w:val="1"/>
          <w:numId w:val="8"/>
        </w:numPr>
        <w:bidi w:val="0"/>
        <w:spacing w:before="0" w:beforeAutospacing="0" w:after="0" w:afterAutospacing="0"/>
        <w:textAlignment w:val="baseline"/>
        <w:rPr>
          <w:rFonts w:ascii="Calibri" w:hAnsi="Calibri" w:cs="Calibri"/>
        </w:rPr>
      </w:pPr>
      <w:r w:rsidRPr="00E67163">
        <w:rPr>
          <w:rFonts w:ascii="Calibri" w:hAnsi="Calibri" w:cs="Calibri"/>
          <w:rtl w:val="0"/>
          <w:lang w:val="es"/>
        </w:rPr>
        <w:t>Requiere mayor claridad para su aplicación práctica.</w:t>
      </w:r>
    </w:p>
    <w:p w:rsidR="0040024C" w:rsidP="0040024C" w14:paraId="2657FD36" w14:textId="77777777">
      <w:pPr>
        <w:pStyle w:val="paragraph"/>
        <w:numPr>
          <w:ilvl w:val="0"/>
          <w:numId w:val="8"/>
        </w:numPr>
        <w:bidi w:val="0"/>
        <w:spacing w:before="0" w:beforeAutospacing="0" w:after="0" w:afterAutospacing="0"/>
        <w:textAlignment w:val="baseline"/>
        <w:rPr>
          <w:rFonts w:ascii="Calibri" w:hAnsi="Calibri" w:cs="Calibri"/>
        </w:rPr>
      </w:pPr>
      <w:r w:rsidRPr="00E67163">
        <w:rPr>
          <w:rFonts w:ascii="Calibri" w:hAnsi="Calibri" w:cs="Calibri"/>
          <w:rtl w:val="0"/>
          <w:lang w:val="es"/>
        </w:rPr>
        <w:t>Comprobación</w:t>
      </w:r>
      <w:r w:rsidRPr="00E67163">
        <w:rPr>
          <w:rFonts w:ascii="Calibri" w:hAnsi="Calibri" w:cs="Calibri"/>
          <w:b/>
          <w:bCs/>
          <w:rtl w:val="0"/>
          <w:lang w:val="es"/>
        </w:rPr>
        <w:t xml:space="preserve"> </w:t>
      </w:r>
      <w:r w:rsidRPr="00E67163">
        <w:rPr>
          <w:rFonts w:ascii="Calibri" w:hAnsi="Calibri" w:cs="Calibri"/>
          <w:rtl w:val="0"/>
          <w:lang w:val="es"/>
        </w:rPr>
        <w:t>del cumplimiento: Garantizar la conformidad con todas las leyes y normativas locales aplicables.</w:t>
      </w:r>
    </w:p>
    <w:p w:rsidR="0040024C" w:rsidRPr="00E67163" w:rsidP="0040024C" w14:paraId="1899B7D8" w14:textId="77777777">
      <w:pPr>
        <w:pStyle w:val="paragraph"/>
        <w:spacing w:before="0" w:beforeAutospacing="0" w:after="0" w:afterAutospacing="0"/>
        <w:ind w:left="360"/>
        <w:textAlignment w:val="baseline"/>
        <w:rPr>
          <w:rFonts w:ascii="Calibri" w:hAnsi="Calibri" w:cs="Calibri"/>
        </w:rPr>
      </w:pPr>
    </w:p>
    <w:p w:rsidR="0040024C" w:rsidRPr="00E51450" w:rsidP="00592AE0" w14:paraId="5C2E87EC" w14:textId="77777777">
      <w:pPr>
        <w:pStyle w:val="Heading3"/>
        <w:numPr>
          <w:ilvl w:val="0"/>
          <w:numId w:val="0"/>
        </w:numPr>
        <w:bidi w:val="0"/>
        <w:rPr>
          <w:color w:val="auto"/>
        </w:rPr>
      </w:pPr>
      <w:bookmarkStart w:id="108" w:name="_Toc256000033"/>
      <w:r w:rsidRPr="00E51450">
        <w:rPr>
          <w:color w:val="auto"/>
          <w:rtl w:val="0"/>
          <w:lang w:val="es"/>
        </w:rPr>
        <w:t>2. Contextualización local</w:t>
      </w:r>
      <w:bookmarkEnd w:id="108"/>
    </w:p>
    <w:p w:rsidR="0040024C" w:rsidRPr="00E67163" w:rsidP="0040024C" w14:paraId="00215A41" w14:textId="77777777">
      <w:pPr>
        <w:pStyle w:val="paragraph"/>
        <w:numPr>
          <w:ilvl w:val="0"/>
          <w:numId w:val="9"/>
        </w:numPr>
        <w:bidi w:val="0"/>
        <w:spacing w:before="0" w:beforeAutospacing="0" w:after="0" w:afterAutospacing="0"/>
        <w:textAlignment w:val="baseline"/>
        <w:rPr>
          <w:rFonts w:ascii="Calibri" w:hAnsi="Calibri" w:cs="Calibri"/>
        </w:rPr>
      </w:pPr>
      <w:r w:rsidRPr="00E67163">
        <w:rPr>
          <w:rFonts w:ascii="Calibri" w:hAnsi="Calibri" w:cs="Calibri"/>
          <w:rtl w:val="0"/>
          <w:lang w:val="es"/>
        </w:rPr>
        <w:t>Desarrollar una versión localizada de la política que:</w:t>
      </w:r>
    </w:p>
    <w:p w:rsidR="0040024C" w:rsidRPr="00E67163" w:rsidP="0040024C" w14:paraId="1A902A36" w14:textId="77777777">
      <w:pPr>
        <w:pStyle w:val="paragraph"/>
        <w:numPr>
          <w:ilvl w:val="1"/>
          <w:numId w:val="9"/>
        </w:numPr>
        <w:bidi w:val="0"/>
        <w:spacing w:before="0" w:beforeAutospacing="0" w:after="0" w:afterAutospacing="0"/>
        <w:textAlignment w:val="baseline"/>
        <w:rPr>
          <w:rFonts w:ascii="Calibri" w:hAnsi="Calibri" w:cs="Calibri"/>
        </w:rPr>
      </w:pPr>
      <w:r w:rsidRPr="00E67163">
        <w:rPr>
          <w:rFonts w:ascii="Calibri" w:hAnsi="Calibri" w:cs="Calibri"/>
          <w:rtl w:val="0"/>
          <w:lang w:val="es"/>
        </w:rPr>
        <w:t>Mantiene la intención de la política global.</w:t>
      </w:r>
    </w:p>
    <w:p w:rsidR="0040024C" w:rsidRPr="00E67163" w:rsidP="0040024C" w14:paraId="27B00EBF" w14:textId="77777777">
      <w:pPr>
        <w:pStyle w:val="paragraph"/>
        <w:numPr>
          <w:ilvl w:val="1"/>
          <w:numId w:val="9"/>
        </w:numPr>
        <w:bidi w:val="0"/>
        <w:spacing w:before="0" w:beforeAutospacing="0" w:after="0" w:afterAutospacing="0"/>
        <w:textAlignment w:val="baseline"/>
        <w:rPr>
          <w:rFonts w:ascii="Calibri" w:hAnsi="Calibri" w:cs="Calibri"/>
        </w:rPr>
      </w:pPr>
      <w:r w:rsidRPr="00E67163">
        <w:rPr>
          <w:rFonts w:ascii="Calibri" w:hAnsi="Calibri" w:cs="Calibri"/>
          <w:rtl w:val="0"/>
          <w:lang w:val="es"/>
        </w:rPr>
        <w:t>Integra requisitos locales más estrictos o exclusivos.</w:t>
      </w:r>
    </w:p>
    <w:p w:rsidR="0040024C" w:rsidRPr="00E67163" w:rsidP="0040024C" w14:paraId="28326EEA" w14:textId="77777777">
      <w:pPr>
        <w:pStyle w:val="paragraph"/>
        <w:numPr>
          <w:ilvl w:val="1"/>
          <w:numId w:val="9"/>
        </w:numPr>
        <w:bidi w:val="0"/>
        <w:spacing w:before="0" w:beforeAutospacing="0" w:after="0" w:afterAutospacing="0"/>
        <w:textAlignment w:val="baseline"/>
        <w:rPr>
          <w:rFonts w:ascii="Calibri" w:hAnsi="Calibri" w:cs="Calibri"/>
        </w:rPr>
      </w:pPr>
      <w:r w:rsidRPr="00E67163">
        <w:rPr>
          <w:rFonts w:ascii="Calibri" w:hAnsi="Calibri" w:cs="Calibri"/>
          <w:rtl w:val="0"/>
          <w:lang w:val="es"/>
        </w:rPr>
        <w:t>Proporciona pasos claros y viables para la puesta en práctica.</w:t>
      </w:r>
    </w:p>
    <w:p w:rsidR="0040024C" w:rsidRPr="00592AE0" w:rsidP="00592AE0" w14:paraId="31D5D589" w14:textId="77777777">
      <w:pPr>
        <w:pStyle w:val="Heading3"/>
        <w:numPr>
          <w:ilvl w:val="0"/>
          <w:numId w:val="0"/>
        </w:numPr>
        <w:bidi w:val="0"/>
        <w:rPr>
          <w:color w:val="auto"/>
        </w:rPr>
      </w:pPr>
      <w:bookmarkStart w:id="109" w:name="_Toc256000034"/>
      <w:r w:rsidRPr="00592AE0">
        <w:rPr>
          <w:color w:val="auto"/>
          <w:rtl w:val="0"/>
          <w:lang w:val="es"/>
        </w:rPr>
        <w:t>3. 3. Proceso de aprobación</w:t>
      </w:r>
      <w:bookmarkEnd w:id="109"/>
    </w:p>
    <w:p w:rsidR="0040024C" w:rsidRPr="008270D5" w:rsidP="0040024C" w14:paraId="736DAA07" w14:textId="77777777">
      <w:pPr>
        <w:pStyle w:val="paragraph"/>
        <w:bidi w:val="0"/>
        <w:spacing w:before="0" w:beforeAutospacing="0" w:after="0" w:afterAutospacing="0"/>
        <w:textAlignment w:val="baseline"/>
        <w:rPr>
          <w:rFonts w:ascii="Calibri" w:hAnsi="Calibri" w:cs="Calibri"/>
        </w:rPr>
      </w:pPr>
      <w:r w:rsidRPr="008270D5">
        <w:rPr>
          <w:rFonts w:ascii="Calibri" w:hAnsi="Calibri" w:cs="Calibri"/>
          <w:rtl w:val="0"/>
          <w:lang w:val="es"/>
        </w:rPr>
        <w:t>Las adaptaciones de la política global deben someterse a los siguientes trámites de aprobación:</w:t>
      </w:r>
    </w:p>
    <w:p w:rsidR="0040024C" w:rsidRPr="008270D5" w:rsidP="0040024C" w14:paraId="5120D6C3" w14:textId="77777777">
      <w:pPr>
        <w:pStyle w:val="paragraph"/>
        <w:numPr>
          <w:ilvl w:val="0"/>
          <w:numId w:val="10"/>
        </w:numPr>
        <w:bidi w:val="0"/>
        <w:spacing w:before="0" w:beforeAutospacing="0" w:after="0" w:afterAutospacing="0"/>
        <w:textAlignment w:val="baseline"/>
        <w:rPr>
          <w:rFonts w:ascii="Calibri" w:hAnsi="Calibri" w:cs="Calibri"/>
        </w:rPr>
      </w:pPr>
      <w:r w:rsidRPr="00E51450">
        <w:rPr>
          <w:rFonts w:ascii="Calibri" w:hAnsi="Calibri" w:cs="Calibri"/>
          <w:rtl w:val="0"/>
          <w:lang w:val="es"/>
        </w:rPr>
        <w:t>Borrador de la propuesta:</w:t>
        <w:br/>
        <w:t>Presente una propuesta detallada en la que se esbocen:</w:t>
      </w:r>
    </w:p>
    <w:p w:rsidR="0040024C" w:rsidRPr="008270D5" w:rsidP="0040024C" w14:paraId="73DBD95E" w14:textId="77777777">
      <w:pPr>
        <w:pStyle w:val="paragraph"/>
        <w:numPr>
          <w:ilvl w:val="1"/>
          <w:numId w:val="10"/>
        </w:numPr>
        <w:bidi w:val="0"/>
        <w:spacing w:before="0" w:beforeAutospacing="0" w:after="0" w:afterAutospacing="0"/>
        <w:textAlignment w:val="baseline"/>
        <w:rPr>
          <w:rFonts w:ascii="Calibri" w:hAnsi="Calibri" w:cs="Calibri"/>
        </w:rPr>
      </w:pPr>
      <w:r w:rsidRPr="008270D5">
        <w:rPr>
          <w:rFonts w:ascii="Calibri" w:hAnsi="Calibri" w:cs="Calibri"/>
          <w:rtl w:val="0"/>
          <w:lang w:val="es"/>
        </w:rPr>
        <w:t>La variación o conflicto local identificado.</w:t>
      </w:r>
    </w:p>
    <w:p w:rsidR="0040024C" w:rsidRPr="008270D5" w:rsidP="0040024C" w14:paraId="542EE5E1" w14:textId="77777777">
      <w:pPr>
        <w:pStyle w:val="paragraph"/>
        <w:numPr>
          <w:ilvl w:val="1"/>
          <w:numId w:val="10"/>
        </w:numPr>
        <w:bidi w:val="0"/>
        <w:spacing w:before="0" w:beforeAutospacing="0" w:after="0" w:afterAutospacing="0"/>
        <w:textAlignment w:val="baseline"/>
        <w:rPr>
          <w:rFonts w:ascii="Calibri" w:hAnsi="Calibri" w:cs="Calibri"/>
        </w:rPr>
      </w:pPr>
      <w:r w:rsidRPr="008270D5">
        <w:rPr>
          <w:rFonts w:ascii="Calibri" w:hAnsi="Calibri" w:cs="Calibri"/>
          <w:rtl w:val="0"/>
          <w:lang w:val="es"/>
        </w:rPr>
        <w:t>Justificación de la adaptación propuesta.</w:t>
      </w:r>
    </w:p>
    <w:p w:rsidR="0040024C" w:rsidRPr="008270D5" w:rsidP="0040024C" w14:paraId="2635D6F6" w14:textId="77777777">
      <w:pPr>
        <w:pStyle w:val="paragraph"/>
        <w:numPr>
          <w:ilvl w:val="1"/>
          <w:numId w:val="10"/>
        </w:numPr>
        <w:bidi w:val="0"/>
        <w:spacing w:before="0" w:beforeAutospacing="0" w:after="0" w:afterAutospacing="0"/>
        <w:textAlignment w:val="baseline"/>
        <w:rPr>
          <w:rFonts w:ascii="Calibri" w:hAnsi="Calibri" w:cs="Calibri"/>
        </w:rPr>
      </w:pPr>
      <w:r w:rsidRPr="008270D5">
        <w:rPr>
          <w:rFonts w:ascii="Calibri" w:hAnsi="Calibri" w:cs="Calibri"/>
          <w:rtl w:val="0"/>
          <w:lang w:val="es"/>
        </w:rPr>
        <w:t>Pruebas del cumplimiento de la normativa local.</w:t>
      </w:r>
    </w:p>
    <w:p w:rsidR="0040024C" w:rsidRPr="008270D5" w:rsidP="0040024C" w14:paraId="7A845642" w14:textId="77777777">
      <w:pPr>
        <w:pStyle w:val="paragraph"/>
        <w:numPr>
          <w:ilvl w:val="0"/>
          <w:numId w:val="10"/>
        </w:numPr>
        <w:bidi w:val="0"/>
        <w:spacing w:before="0" w:beforeAutospacing="0" w:after="0" w:afterAutospacing="0"/>
        <w:textAlignment w:val="baseline"/>
        <w:rPr>
          <w:rFonts w:ascii="Calibri" w:hAnsi="Calibri" w:cs="Calibri"/>
        </w:rPr>
      </w:pPr>
      <w:r w:rsidRPr="00E51450">
        <w:rPr>
          <w:rFonts w:ascii="Calibri" w:hAnsi="Calibri" w:cs="Calibri"/>
          <w:rtl w:val="0"/>
          <w:lang w:val="es"/>
        </w:rPr>
        <w:t xml:space="preserve">Revisión por parte del Consejo General Regional: </w:t>
        <w:br/>
        <w:t>Garantizar que la adaptación propuesta cumple los requisitos legales y no expone a Brinks a riesgos innecesarios.</w:t>
      </w:r>
    </w:p>
    <w:p w:rsidR="0040024C" w:rsidRPr="008270D5" w:rsidP="0040024C" w14:paraId="41EE1956" w14:textId="77777777">
      <w:pPr>
        <w:pStyle w:val="paragraph"/>
        <w:numPr>
          <w:ilvl w:val="0"/>
          <w:numId w:val="10"/>
        </w:numPr>
        <w:bidi w:val="0"/>
        <w:spacing w:before="0" w:beforeAutospacing="0" w:after="0" w:afterAutospacing="0"/>
        <w:textAlignment w:val="baseline"/>
        <w:rPr>
          <w:rFonts w:ascii="Calibri" w:hAnsi="Calibri" w:cs="Calibri"/>
        </w:rPr>
      </w:pPr>
      <w:r w:rsidRPr="00E51450">
        <w:rPr>
          <w:rFonts w:ascii="Calibri" w:hAnsi="Calibri" w:cs="Calibri"/>
          <w:rtl w:val="0"/>
          <w:lang w:val="es"/>
        </w:rPr>
        <w:t>Revisión por parte del VP/SVP de RRHH:</w:t>
        <w:br/>
        <w:t>Confirmar la alineación con los objetivos, políticas y estándares empresariales de RRHH.</w:t>
      </w:r>
    </w:p>
    <w:p w:rsidR="0040024C" w:rsidP="0040024C" w14:paraId="664EDFB7" w14:textId="77777777">
      <w:pPr>
        <w:pStyle w:val="paragraph"/>
        <w:numPr>
          <w:ilvl w:val="0"/>
          <w:numId w:val="10"/>
        </w:numPr>
        <w:bidi w:val="0"/>
        <w:spacing w:before="0" w:beforeAutospacing="0" w:after="0" w:afterAutospacing="0"/>
        <w:textAlignment w:val="baseline"/>
        <w:rPr>
          <w:rFonts w:ascii="Calibri" w:hAnsi="Calibri" w:cs="Calibri"/>
        </w:rPr>
      </w:pPr>
      <w:r w:rsidRPr="00E51450">
        <w:rPr>
          <w:rFonts w:ascii="Calibri" w:hAnsi="Calibri" w:cs="Calibri"/>
          <w:rtl w:val="0"/>
          <w:lang w:val="es"/>
        </w:rPr>
        <w:t xml:space="preserve">Aprobación final: Es obligatoria la </w:t>
        <w:br/>
        <w:t>aprobación del Consejo General Regional y del CHRO Global antes de su aplicación.</w:t>
      </w:r>
    </w:p>
    <w:p w:rsidR="0040024C" w:rsidP="0040024C" w14:paraId="7AE969C3" w14:textId="77777777">
      <w:pPr>
        <w:pStyle w:val="paragraph"/>
        <w:spacing w:before="0" w:beforeAutospacing="0" w:after="0" w:afterAutospacing="0"/>
        <w:textAlignment w:val="baseline"/>
        <w:rPr>
          <w:rFonts w:ascii="Calibri" w:hAnsi="Calibri" w:cs="Calibri"/>
        </w:rPr>
      </w:pPr>
    </w:p>
    <w:p w:rsidR="0040024C" w:rsidRPr="008270D5" w:rsidP="0040024C" w14:paraId="678B4876" w14:textId="77777777">
      <w:pPr>
        <w:pStyle w:val="paragraph"/>
        <w:bidi w:val="0"/>
        <w:spacing w:before="0" w:beforeAutospacing="0" w:after="0" w:afterAutospacing="0"/>
        <w:textAlignment w:val="baseline"/>
        <w:rPr>
          <w:rFonts w:ascii="Calibri" w:hAnsi="Calibri" w:cs="Calibri"/>
          <w:b/>
          <w:bCs/>
          <w:sz w:val="28"/>
          <w:szCs w:val="28"/>
        </w:rPr>
      </w:pPr>
      <w:r w:rsidRPr="00EE3125">
        <w:rPr>
          <w:rFonts w:ascii="Calibri" w:hAnsi="Calibri" w:cs="Calibri"/>
          <w:b/>
          <w:bCs/>
          <w:sz w:val="28"/>
          <w:szCs w:val="28"/>
          <w:rtl w:val="0"/>
          <w:lang w:val="es"/>
        </w:rPr>
        <w:t>Plantilla para la presentación de solicitudes de adaptación local</w:t>
      </w:r>
    </w:p>
    <w:p w:rsidR="0040024C" w:rsidP="0040024C" w14:paraId="6567C2FD" w14:textId="77777777">
      <w:pPr>
        <w:pStyle w:val="paragraph"/>
        <w:spacing w:before="0" w:beforeAutospacing="0" w:after="0" w:afterAutospacing="0"/>
        <w:textAlignment w:val="baseline"/>
        <w:rPr>
          <w:rFonts w:ascii="Calibri" w:hAnsi="Calibri" w:cs="Calibri"/>
        </w:rPr>
      </w:pPr>
    </w:p>
    <w:tbl>
      <w:tblPr>
        <w:tblStyle w:val="TableGrid"/>
        <w:tblW w:w="0" w:type="auto"/>
        <w:tblLook w:val="04A0"/>
      </w:tblPr>
      <w:tblGrid>
        <w:gridCol w:w="2695"/>
        <w:gridCol w:w="6655"/>
      </w:tblGrid>
      <w:tr w14:paraId="192C889D" w14:textId="77777777" w:rsidTr="00202823">
        <w:tblPrEx>
          <w:tblW w:w="0" w:type="auto"/>
          <w:tblLook w:val="04A0"/>
        </w:tblPrEx>
        <w:tc>
          <w:tcPr>
            <w:tcW w:w="2695" w:type="dxa"/>
            <w:shd w:val="clear" w:color="auto" w:fill="C6D9F0" w:themeFill="text2" w:themeFillTint="33"/>
          </w:tcPr>
          <w:p w:rsidR="0040024C" w:rsidRPr="000E1269" w:rsidP="00202823" w14:paraId="58B041DE" w14:textId="77777777">
            <w:pPr>
              <w:bidi w:val="0"/>
              <w:jc w:val="center"/>
              <w:rPr>
                <w:rFonts w:ascii="Calibri" w:hAnsi="Calibri" w:cs="Calibri"/>
                <w:b/>
                <w:bCs/>
              </w:rPr>
            </w:pPr>
            <w:r w:rsidRPr="000E1269">
              <w:rPr>
                <w:rFonts w:ascii="Calibri" w:hAnsi="Calibri" w:cs="Calibri"/>
                <w:b/>
                <w:bCs/>
                <w:rtl w:val="0"/>
                <w:lang w:val="es"/>
              </w:rPr>
              <w:t>Sección</w:t>
            </w:r>
          </w:p>
        </w:tc>
        <w:tc>
          <w:tcPr>
            <w:tcW w:w="6655" w:type="dxa"/>
            <w:shd w:val="clear" w:color="auto" w:fill="C6D9F0" w:themeFill="text2" w:themeFillTint="33"/>
          </w:tcPr>
          <w:p w:rsidR="0040024C" w:rsidRPr="000E1269" w:rsidP="00202823" w14:paraId="7CDBD94E" w14:textId="77777777">
            <w:pPr>
              <w:bidi w:val="0"/>
              <w:jc w:val="center"/>
              <w:rPr>
                <w:rFonts w:ascii="Calibri" w:hAnsi="Calibri" w:cs="Calibri"/>
                <w:b/>
                <w:bCs/>
              </w:rPr>
            </w:pPr>
            <w:r w:rsidRPr="000E1269">
              <w:rPr>
                <w:rFonts w:ascii="Calibri" w:hAnsi="Calibri" w:cs="Calibri"/>
                <w:b/>
                <w:bCs/>
                <w:rtl w:val="0"/>
                <w:lang w:val="es"/>
              </w:rPr>
              <w:t>Detalles</w:t>
            </w:r>
          </w:p>
        </w:tc>
      </w:tr>
      <w:tr w14:paraId="2C567F9C" w14:textId="77777777" w:rsidTr="00842544">
        <w:tblPrEx>
          <w:tblW w:w="0" w:type="auto"/>
          <w:tblLook w:val="04A0"/>
        </w:tblPrEx>
        <w:tc>
          <w:tcPr>
            <w:tcW w:w="2695" w:type="dxa"/>
          </w:tcPr>
          <w:p w:rsidR="0040024C" w:rsidRPr="00696E59" w:rsidP="00842544" w14:paraId="5C81AB80" w14:textId="77777777">
            <w:pPr>
              <w:bidi w:val="0"/>
              <w:jc w:val="both"/>
              <w:rPr>
                <w:rFonts w:ascii="Calibri" w:hAnsi="Calibri" w:cs="Calibri"/>
                <w:b/>
                <w:bCs/>
              </w:rPr>
            </w:pPr>
            <w:r w:rsidRPr="00696E59">
              <w:rPr>
                <w:rFonts w:ascii="Calibri" w:hAnsi="Calibri" w:cs="Calibri"/>
                <w:b/>
                <w:bCs/>
                <w:rtl w:val="0"/>
                <w:lang w:val="es"/>
              </w:rPr>
              <w:t>País/Región</w:t>
            </w:r>
          </w:p>
        </w:tc>
        <w:tc>
          <w:tcPr>
            <w:tcW w:w="6655" w:type="dxa"/>
          </w:tcPr>
          <w:p w:rsidR="0040024C" w:rsidRPr="009E79C0" w:rsidP="00842544" w14:paraId="759D3DBD" w14:textId="77777777">
            <w:pPr>
              <w:bidi w:val="0"/>
              <w:jc w:val="both"/>
              <w:rPr>
                <w:rFonts w:ascii="Calibri" w:hAnsi="Calibri" w:cs="Calibri"/>
              </w:rPr>
            </w:pPr>
            <w:r w:rsidRPr="009E79C0">
              <w:rPr>
                <w:rFonts w:ascii="Calibri" w:hAnsi="Calibri" w:cs="Calibri"/>
                <w:rtl w:val="0"/>
                <w:lang w:val="es"/>
              </w:rPr>
              <w:t>País o región específicos donde es necesaria la adaptación</w:t>
            </w:r>
          </w:p>
        </w:tc>
      </w:tr>
      <w:tr w14:paraId="4AF762F2" w14:textId="77777777" w:rsidTr="00842544">
        <w:tblPrEx>
          <w:tblW w:w="0" w:type="auto"/>
          <w:tblLook w:val="04A0"/>
        </w:tblPrEx>
        <w:tc>
          <w:tcPr>
            <w:tcW w:w="2695" w:type="dxa"/>
          </w:tcPr>
          <w:p w:rsidR="0040024C" w:rsidRPr="00696E59" w:rsidP="00842544" w14:paraId="0D6A5892" w14:textId="77777777">
            <w:pPr>
              <w:bidi w:val="0"/>
              <w:jc w:val="both"/>
              <w:rPr>
                <w:rFonts w:ascii="Calibri" w:hAnsi="Calibri" w:cs="Calibri"/>
                <w:b/>
                <w:bCs/>
              </w:rPr>
            </w:pPr>
            <w:r>
              <w:rPr>
                <w:rFonts w:ascii="Calibri" w:hAnsi="Calibri" w:cs="Calibri"/>
                <w:b/>
                <w:bCs/>
                <w:rtl w:val="0"/>
                <w:lang w:val="es"/>
              </w:rPr>
              <w:t>Política global de referencia</w:t>
            </w:r>
          </w:p>
        </w:tc>
        <w:tc>
          <w:tcPr>
            <w:tcW w:w="6655" w:type="dxa"/>
          </w:tcPr>
          <w:p w:rsidR="0040024C" w:rsidRPr="009E79C0" w:rsidP="00842544" w14:paraId="43D484CC" w14:textId="77777777">
            <w:pPr>
              <w:bidi w:val="0"/>
              <w:jc w:val="both"/>
              <w:rPr>
                <w:rFonts w:ascii="Calibri" w:hAnsi="Calibri" w:cs="Calibri"/>
              </w:rPr>
            </w:pPr>
            <w:r w:rsidRPr="009E79C0">
              <w:rPr>
                <w:rFonts w:ascii="Calibri" w:hAnsi="Calibri" w:cs="Calibri"/>
                <w:rtl w:val="0"/>
                <w:lang w:val="es"/>
              </w:rPr>
              <w:t>Identifique la sección específica de la política global</w:t>
            </w:r>
          </w:p>
        </w:tc>
      </w:tr>
      <w:tr w14:paraId="0D2D7B76" w14:textId="77777777" w:rsidTr="00842544">
        <w:tblPrEx>
          <w:tblW w:w="0" w:type="auto"/>
          <w:tblLook w:val="04A0"/>
        </w:tblPrEx>
        <w:tc>
          <w:tcPr>
            <w:tcW w:w="2695" w:type="dxa"/>
          </w:tcPr>
          <w:p w:rsidR="0040024C" w:rsidRPr="00696E59" w:rsidP="00842544" w14:paraId="0F9BB9C8" w14:textId="77777777">
            <w:pPr>
              <w:bidi w:val="0"/>
              <w:jc w:val="both"/>
              <w:rPr>
                <w:rFonts w:ascii="Calibri" w:hAnsi="Calibri" w:cs="Calibri"/>
                <w:b/>
                <w:bCs/>
              </w:rPr>
            </w:pPr>
            <w:r>
              <w:rPr>
                <w:rFonts w:ascii="Calibri" w:hAnsi="Calibri" w:cs="Calibri"/>
                <w:b/>
                <w:bCs/>
                <w:rtl w:val="0"/>
                <w:lang w:val="es"/>
              </w:rPr>
              <w:t>Variación local identificada</w:t>
            </w:r>
          </w:p>
        </w:tc>
        <w:tc>
          <w:tcPr>
            <w:tcW w:w="6655" w:type="dxa"/>
          </w:tcPr>
          <w:p w:rsidR="0040024C" w:rsidRPr="009E79C0" w:rsidP="00842544" w14:paraId="6432D54B" w14:textId="77777777">
            <w:pPr>
              <w:bidi w:val="0"/>
              <w:jc w:val="both"/>
              <w:rPr>
                <w:rFonts w:ascii="Calibri" w:hAnsi="Calibri" w:cs="Calibri"/>
              </w:rPr>
            </w:pPr>
            <w:r>
              <w:rPr>
                <w:rFonts w:ascii="Calibri" w:hAnsi="Calibri" w:cs="Calibri"/>
                <w:rtl w:val="0"/>
                <w:lang w:val="es"/>
              </w:rPr>
              <w:t>Describió el conflicto/problema con la política global</w:t>
            </w:r>
          </w:p>
        </w:tc>
      </w:tr>
      <w:tr w14:paraId="346DDD28" w14:textId="77777777" w:rsidTr="00842544">
        <w:tblPrEx>
          <w:tblW w:w="0" w:type="auto"/>
          <w:tblLook w:val="04A0"/>
        </w:tblPrEx>
        <w:tc>
          <w:tcPr>
            <w:tcW w:w="2695" w:type="dxa"/>
          </w:tcPr>
          <w:p w:rsidR="0040024C" w:rsidRPr="00696E59" w:rsidP="00842544" w14:paraId="24E60FD9" w14:textId="77777777">
            <w:pPr>
              <w:bidi w:val="0"/>
              <w:jc w:val="both"/>
              <w:rPr>
                <w:rFonts w:ascii="Calibri" w:hAnsi="Calibri" w:cs="Calibri"/>
                <w:b/>
                <w:bCs/>
              </w:rPr>
            </w:pPr>
            <w:r>
              <w:rPr>
                <w:rFonts w:ascii="Calibri" w:hAnsi="Calibri" w:cs="Calibri"/>
                <w:b/>
                <w:bCs/>
                <w:rtl w:val="0"/>
                <w:lang w:val="es"/>
              </w:rPr>
              <w:t>Adaptación propuesta</w:t>
            </w:r>
          </w:p>
        </w:tc>
        <w:tc>
          <w:tcPr>
            <w:tcW w:w="6655" w:type="dxa"/>
          </w:tcPr>
          <w:p w:rsidR="0040024C" w:rsidRPr="009E79C0" w:rsidP="00842544" w14:paraId="28FAB13B" w14:textId="77777777">
            <w:pPr>
              <w:bidi w:val="0"/>
              <w:jc w:val="both"/>
              <w:rPr>
                <w:rFonts w:ascii="Calibri" w:hAnsi="Calibri" w:cs="Calibri"/>
              </w:rPr>
            </w:pPr>
            <w:r>
              <w:rPr>
                <w:rFonts w:ascii="Calibri" w:hAnsi="Calibri" w:cs="Calibri"/>
                <w:rtl w:val="0"/>
                <w:lang w:val="es"/>
              </w:rPr>
              <w:t>Describa los cambios o adiciones propuestos</w:t>
            </w:r>
          </w:p>
        </w:tc>
      </w:tr>
      <w:tr w14:paraId="74E9696B" w14:textId="77777777" w:rsidTr="00842544">
        <w:tblPrEx>
          <w:tblW w:w="0" w:type="auto"/>
          <w:tblLook w:val="04A0"/>
        </w:tblPrEx>
        <w:tc>
          <w:tcPr>
            <w:tcW w:w="2695" w:type="dxa"/>
          </w:tcPr>
          <w:p w:rsidR="0040024C" w:rsidRPr="00696E59" w:rsidP="00842544" w14:paraId="75CA0E43" w14:textId="77777777">
            <w:pPr>
              <w:bidi w:val="0"/>
              <w:jc w:val="both"/>
              <w:rPr>
                <w:rFonts w:ascii="Calibri" w:hAnsi="Calibri" w:cs="Calibri"/>
                <w:b/>
                <w:bCs/>
              </w:rPr>
            </w:pPr>
            <w:r>
              <w:rPr>
                <w:rFonts w:ascii="Calibri" w:hAnsi="Calibri" w:cs="Calibri"/>
                <w:b/>
                <w:bCs/>
                <w:rtl w:val="0"/>
                <w:lang w:val="es"/>
              </w:rPr>
              <w:t>Cumplimiento Justificación</w:t>
            </w:r>
          </w:p>
        </w:tc>
        <w:tc>
          <w:tcPr>
            <w:tcW w:w="6655" w:type="dxa"/>
          </w:tcPr>
          <w:p w:rsidR="0040024C" w:rsidRPr="009E79C0" w:rsidP="00842544" w14:paraId="63920C29" w14:textId="77777777">
            <w:pPr>
              <w:bidi w:val="0"/>
              <w:jc w:val="both"/>
              <w:rPr>
                <w:rFonts w:ascii="Calibri" w:hAnsi="Calibri" w:cs="Calibri"/>
              </w:rPr>
            </w:pPr>
            <w:r>
              <w:rPr>
                <w:rFonts w:ascii="Calibri" w:hAnsi="Calibri" w:cs="Calibri"/>
                <w:rtl w:val="0"/>
                <w:lang w:val="es"/>
              </w:rPr>
              <w:t>Aportar pruebas del cumplimiento de la normativa local</w:t>
            </w:r>
          </w:p>
        </w:tc>
      </w:tr>
      <w:tr w14:paraId="0D0608C2" w14:textId="77777777" w:rsidTr="00842544">
        <w:tblPrEx>
          <w:tblW w:w="0" w:type="auto"/>
          <w:tblLook w:val="04A0"/>
        </w:tblPrEx>
        <w:tc>
          <w:tcPr>
            <w:tcW w:w="2695" w:type="dxa"/>
          </w:tcPr>
          <w:p w:rsidR="0040024C" w:rsidRPr="00696E59" w:rsidP="00842544" w14:paraId="397E169F" w14:textId="77777777">
            <w:pPr>
              <w:bidi w:val="0"/>
              <w:jc w:val="both"/>
              <w:rPr>
                <w:rFonts w:ascii="Calibri" w:hAnsi="Calibri" w:cs="Calibri"/>
                <w:b/>
                <w:bCs/>
              </w:rPr>
            </w:pPr>
            <w:r>
              <w:rPr>
                <w:rFonts w:ascii="Calibri" w:hAnsi="Calibri" w:cs="Calibri"/>
                <w:b/>
                <w:bCs/>
                <w:rtl w:val="0"/>
                <w:lang w:val="es"/>
              </w:rPr>
              <w:t>Plan de aplicación</w:t>
            </w:r>
          </w:p>
        </w:tc>
        <w:tc>
          <w:tcPr>
            <w:tcW w:w="6655" w:type="dxa"/>
          </w:tcPr>
          <w:p w:rsidR="0040024C" w:rsidRPr="009E79C0" w:rsidP="00842544" w14:paraId="3536A934" w14:textId="77777777">
            <w:pPr>
              <w:bidi w:val="0"/>
              <w:jc w:val="both"/>
              <w:rPr>
                <w:rFonts w:ascii="Calibri" w:hAnsi="Calibri" w:cs="Calibri"/>
              </w:rPr>
            </w:pPr>
            <w:r>
              <w:rPr>
                <w:rFonts w:ascii="Calibri" w:hAnsi="Calibri" w:cs="Calibri"/>
                <w:rtl w:val="0"/>
                <w:lang w:val="es"/>
              </w:rPr>
              <w:t xml:space="preserve">Detallar cómo se aplicará la política adaptada </w:t>
            </w:r>
          </w:p>
        </w:tc>
      </w:tr>
      <w:tr w14:paraId="6D26719D" w14:textId="77777777" w:rsidTr="00842544">
        <w:tblPrEx>
          <w:tblW w:w="0" w:type="auto"/>
          <w:tblLook w:val="04A0"/>
        </w:tblPrEx>
        <w:tc>
          <w:tcPr>
            <w:tcW w:w="2695" w:type="dxa"/>
          </w:tcPr>
          <w:p w:rsidR="0040024C" w:rsidRPr="00696E59" w:rsidP="00842544" w14:paraId="3B8ABE4A" w14:textId="77777777">
            <w:pPr>
              <w:bidi w:val="0"/>
              <w:jc w:val="both"/>
              <w:rPr>
                <w:rFonts w:ascii="Calibri" w:hAnsi="Calibri" w:cs="Calibri"/>
                <w:b/>
                <w:bCs/>
              </w:rPr>
            </w:pPr>
            <w:r>
              <w:rPr>
                <w:rFonts w:ascii="Calibri" w:hAnsi="Calibri" w:cs="Calibri"/>
                <w:b/>
                <w:bCs/>
                <w:rtl w:val="0"/>
                <w:lang w:val="es"/>
              </w:rPr>
              <w:t>Firmas de aprobación</w:t>
            </w:r>
          </w:p>
        </w:tc>
        <w:tc>
          <w:tcPr>
            <w:tcW w:w="6655" w:type="dxa"/>
          </w:tcPr>
          <w:p w:rsidR="0040024C" w:rsidRPr="009E79C0" w:rsidP="00842544" w14:paraId="54B2DF1E" w14:textId="77777777">
            <w:pPr>
              <w:bidi w:val="0"/>
              <w:jc w:val="both"/>
              <w:rPr>
                <w:rFonts w:ascii="Calibri" w:hAnsi="Calibri" w:cs="Calibri"/>
              </w:rPr>
            </w:pPr>
            <w:r>
              <w:rPr>
                <w:rFonts w:ascii="Calibri" w:hAnsi="Calibri" w:cs="Calibri"/>
                <w:rtl w:val="0"/>
                <w:lang w:val="es"/>
              </w:rPr>
              <w:t>Incluir líneas para las firmas del Director General Regional y del Director de Recursos Humanos.</w:t>
            </w:r>
          </w:p>
        </w:tc>
      </w:tr>
    </w:tbl>
    <w:p w:rsidR="0040024C" w:rsidP="0040024C" w14:paraId="76E18D91" w14:textId="77777777">
      <w:pPr>
        <w:rPr>
          <w:rFonts w:ascii="Calibri" w:hAnsi="Calibri" w:cs="Calibri"/>
          <w:b/>
          <w:bCs/>
          <w:sz w:val="28"/>
          <w:szCs w:val="28"/>
        </w:rPr>
      </w:pPr>
    </w:p>
    <w:p w:rsidR="0040024C" w:rsidRPr="006F465E" w:rsidP="006F465E" w14:paraId="4600E57E" w14:textId="77777777">
      <w:pPr>
        <w:pStyle w:val="Heading3"/>
        <w:numPr>
          <w:ilvl w:val="0"/>
          <w:numId w:val="0"/>
        </w:numPr>
        <w:bidi w:val="0"/>
        <w:rPr>
          <w:color w:val="auto"/>
        </w:rPr>
      </w:pPr>
      <w:bookmarkStart w:id="110" w:name="_Toc256000035"/>
      <w:r w:rsidRPr="006F465E">
        <w:rPr>
          <w:color w:val="auto"/>
          <w:rtl w:val="0"/>
          <w:lang w:val="es"/>
        </w:rPr>
        <w:t>4. Comunicación y formación</w:t>
      </w:r>
      <w:bookmarkEnd w:id="110"/>
    </w:p>
    <w:p w:rsidR="0040024C" w:rsidRPr="002D24FF" w:rsidP="0040024C" w14:paraId="2B70E951" w14:textId="77777777">
      <w:pPr>
        <w:pStyle w:val="ListParagraph"/>
        <w:numPr>
          <w:ilvl w:val="0"/>
          <w:numId w:val="9"/>
        </w:numPr>
        <w:bidi w:val="0"/>
        <w:rPr>
          <w:rFonts w:ascii="Calibri" w:hAnsi="Calibri" w:cs="Calibri"/>
        </w:rPr>
      </w:pPr>
      <w:r w:rsidRPr="002D24FF">
        <w:rPr>
          <w:rFonts w:ascii="Calibri" w:hAnsi="Calibri" w:cs="Calibri"/>
          <w:rtl w:val="0"/>
          <w:lang w:val="es"/>
        </w:rPr>
        <w:t>Impartir sesiones de formación a los equipos locales para garantizar la comprensión y el cumplimiento de la política adaptada.</w:t>
      </w:r>
    </w:p>
    <w:p w:rsidR="0040024C" w:rsidRPr="00687ACC" w:rsidP="0040024C" w14:paraId="25B39A66" w14:textId="77777777">
      <w:pPr>
        <w:pStyle w:val="ListParagraph"/>
        <w:numPr>
          <w:ilvl w:val="0"/>
          <w:numId w:val="9"/>
        </w:numPr>
        <w:bidi w:val="0"/>
        <w:rPr>
          <w:rFonts w:ascii="Calibri" w:hAnsi="Calibri" w:cs="Calibri"/>
          <w:b/>
          <w:bCs/>
          <w:sz w:val="28"/>
          <w:szCs w:val="28"/>
        </w:rPr>
      </w:pPr>
      <w:r w:rsidRPr="002D24FF">
        <w:rPr>
          <w:rFonts w:ascii="Calibri" w:hAnsi="Calibri" w:cs="Calibri"/>
          <w:rtl w:val="0"/>
          <w:lang w:val="es"/>
        </w:rPr>
        <w:t>Comunicar los motivos de las adaptaciones para fomentar la coherencia y la aceptación en toda la organización.</w:t>
      </w:r>
    </w:p>
    <w:p w:rsidR="0040024C" w:rsidRPr="00AE28E3" w:rsidP="0040024C" w14:paraId="763709F4" w14:textId="77777777">
      <w:pPr>
        <w:pStyle w:val="ListParagraph"/>
        <w:numPr>
          <w:ilvl w:val="0"/>
          <w:numId w:val="9"/>
        </w:numPr>
        <w:bidi w:val="0"/>
        <w:rPr>
          <w:rFonts w:ascii="Calibri" w:hAnsi="Calibri" w:cs="Calibri"/>
          <w:b/>
          <w:bCs/>
          <w:sz w:val="28"/>
          <w:szCs w:val="28"/>
        </w:rPr>
      </w:pPr>
      <w:r>
        <w:rPr>
          <w:rFonts w:ascii="Calibri" w:hAnsi="Calibri" w:cs="Calibri"/>
          <w:rtl w:val="0"/>
          <w:lang w:val="es"/>
        </w:rPr>
        <w:t>Envíe la adaptación final, incluidas las firmas de aprobación, a la biblioteca de recursos de Brinks en Políticas legales globales.</w:t>
      </w:r>
    </w:p>
    <w:p w:rsidR="0040024C" w:rsidRPr="00AE28E3" w:rsidP="0040024C" w14:paraId="3885B9BF" w14:textId="77777777">
      <w:pPr>
        <w:pStyle w:val="ListParagraph"/>
        <w:rPr>
          <w:rFonts w:ascii="Calibri" w:hAnsi="Calibri" w:cs="Calibri"/>
          <w:b/>
          <w:bCs/>
          <w:sz w:val="28"/>
          <w:szCs w:val="28"/>
        </w:rPr>
      </w:pPr>
    </w:p>
    <w:p w:rsidR="0040024C" w:rsidRPr="009A2E29" w:rsidP="009A2E29" w14:paraId="7D33A1A2" w14:textId="77777777">
      <w:pPr>
        <w:pStyle w:val="Heading3"/>
        <w:numPr>
          <w:ilvl w:val="0"/>
          <w:numId w:val="0"/>
        </w:numPr>
        <w:bidi w:val="0"/>
        <w:rPr>
          <w:color w:val="auto"/>
        </w:rPr>
      </w:pPr>
      <w:bookmarkStart w:id="111" w:name="_Toc256000036"/>
      <w:r w:rsidRPr="009A2E29">
        <w:rPr>
          <w:color w:val="auto"/>
          <w:rtl w:val="0"/>
          <w:lang w:val="es"/>
        </w:rPr>
        <w:t>5. Seguimiento e informes</w:t>
      </w:r>
      <w:bookmarkEnd w:id="111"/>
    </w:p>
    <w:p w:rsidR="0040024C" w:rsidP="0040024C" w14:paraId="40CCCE78" w14:textId="77777777">
      <w:pPr>
        <w:bidi w:val="0"/>
        <w:rPr>
          <w:rFonts w:ascii="Calibri" w:hAnsi="Calibri" w:cs="Calibri"/>
        </w:rPr>
      </w:pPr>
      <w:r>
        <w:rPr>
          <w:rFonts w:ascii="Calibri" w:hAnsi="Calibri" w:cs="Calibri"/>
          <w:rtl w:val="0"/>
          <w:lang w:val="es"/>
        </w:rPr>
        <w:t>Establecer revisiones periódicas de la política (mínimo una vez al año) para garantizar:</w:t>
      </w:r>
    </w:p>
    <w:p w:rsidR="0040024C" w:rsidRPr="0054752F" w:rsidP="0040024C" w14:paraId="0C19ACEF" w14:textId="77777777">
      <w:pPr>
        <w:pStyle w:val="ListParagraph"/>
        <w:numPr>
          <w:ilvl w:val="0"/>
          <w:numId w:val="9"/>
        </w:numPr>
        <w:bidi w:val="0"/>
        <w:rPr>
          <w:rFonts w:ascii="Calibri" w:hAnsi="Calibri" w:cs="Calibri"/>
        </w:rPr>
      </w:pPr>
      <w:r w:rsidRPr="0054752F">
        <w:rPr>
          <w:rFonts w:ascii="Calibri" w:hAnsi="Calibri" w:cs="Calibri"/>
          <w:rtl w:val="0"/>
          <w:lang w:val="es"/>
        </w:rPr>
        <w:t>La política adaptada sigue cumpliendo las normas locales y mundiales.</w:t>
      </w:r>
    </w:p>
    <w:p w:rsidR="0040024C" w:rsidRPr="0054752F" w:rsidP="0040024C" w14:paraId="500C1069" w14:textId="77777777">
      <w:pPr>
        <w:pStyle w:val="ListParagraph"/>
        <w:numPr>
          <w:ilvl w:val="0"/>
          <w:numId w:val="9"/>
        </w:numPr>
        <w:bidi w:val="0"/>
        <w:rPr>
          <w:rFonts w:ascii="Calibri" w:hAnsi="Calibri" w:cs="Calibri"/>
        </w:rPr>
      </w:pPr>
      <w:r w:rsidRPr="0054752F">
        <w:rPr>
          <w:rFonts w:ascii="Calibri" w:hAnsi="Calibri" w:cs="Calibri"/>
          <w:rtl w:val="0"/>
          <w:lang w:val="es"/>
        </w:rPr>
        <w:t>Los resultados de la aplicación se utilizan para perfeccionar futuras adaptaciones.</w:t>
      </w:r>
    </w:p>
    <w:p w:rsidR="0040024C" w:rsidRPr="0040024C" w:rsidP="00DF21BE" w14:paraId="076E90CA" w14:textId="77777777">
      <w:pPr>
        <w:rPr>
          <w:rFonts w:ascii="Calibri (heading)" w:hAnsi="Calibri (heading)"/>
        </w:rPr>
      </w:pPr>
    </w:p>
    <w:p w:rsidR="004E47E2" w:rsidRPr="008E5867" w:rsidP="00DF21BE" w14:paraId="00C90FAA" w14:textId="77777777">
      <w:pPr>
        <w:rPr>
          <w:rFonts w:ascii="Calibri (heading)" w:hAnsi="Calibri (heading)"/>
          <w:lang w:val="en-GB"/>
        </w:rPr>
      </w:pPr>
    </w:p>
    <w:sectPr w:rsidSect="007061CA">
      <w:headerReference w:type="default" r:id="rId12"/>
      <w:footerReference w:type="default" r:id="rId13"/>
      <w:pgSz w:w="12240" w:h="15840"/>
      <w:pgMar w:top="1296" w:right="936" w:bottom="1296" w:left="936"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libri (heading)">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02DB" w:rsidRPr="0088004E" w14:paraId="1EFD01A6" w14:textId="0383DAD5">
    <w:pPr>
      <w:pStyle w:val="Footer"/>
      <w:bidi w:val="0"/>
      <w:jc w:val="right"/>
      <w:rPr>
        <w:sz w:val="20"/>
      </w:rPr>
    </w:pPr>
    <w:r w:rsidRPr="0088004E">
      <w:rPr>
        <w:sz w:val="20"/>
        <w:rtl w:val="0"/>
        <w:lang w:val="es"/>
      </w:rPr>
      <w:t>Página</w:t>
    </w:r>
    <w:sdt>
      <w:sdtPr>
        <w:rPr>
          <w:noProof/>
          <w:sz w:val="20"/>
          <w:lang w:val="es"/>
        </w:rPr>
        <w:id w:val="1087967729"/>
        <w:docPartObj>
          <w:docPartGallery w:val="Page Numbers (Bottom of Page)"/>
          <w:docPartUnique/>
        </w:docPartObj>
      </w:sdtPr>
      <w:sdtEndPr>
        <w:rPr>
          <w:noProof/>
        </w:rPr>
      </w:sdtEndPr>
      <w:sdtContent>
        <w:r w:rsidRPr="0088004E">
          <w:rPr>
            <w:sz w:val="20"/>
          </w:rPr>
          <w:fldChar w:fldCharType="begin"/>
        </w:r>
        <w:r w:rsidRPr="0088004E">
          <w:rPr>
            <w:sz w:val="20"/>
            <w:rtl w:val="0"/>
            <w:lang w:val="es"/>
          </w:rPr>
          <w:instrText xml:space="preserve"> PAGE   \* MERGEFORMAT </w:instrText>
        </w:r>
        <w:r w:rsidRPr="0088004E">
          <w:rPr>
            <w:sz w:val="20"/>
          </w:rPr>
          <w:fldChar w:fldCharType="separate"/>
        </w:r>
        <w:r w:rsidR="00E612D3">
          <w:rPr>
            <w:noProof/>
            <w:sz w:val="20"/>
            <w:rtl w:val="0"/>
            <w:lang w:val="es"/>
          </w:rPr>
          <w:t>13</w:t>
        </w:r>
        <w:r w:rsidRPr="0088004E">
          <w:rPr>
            <w:noProof/>
            <w:sz w:val="20"/>
          </w:rPr>
          <w:fldChar w:fldCharType="end"/>
        </w:r>
        <w:r w:rsidRPr="0088004E">
          <w:rPr>
            <w:sz w:val="20"/>
            <w:rtl w:val="0"/>
            <w:lang w:val="es"/>
          </w:rPr>
          <w:t xml:space="preserve"> de 11</w:t>
        </w:r>
      </w:sdtContent>
    </w:sdt>
  </w:p>
  <w:p w:rsidR="007E02DB" w:rsidRPr="001169E2" w14:paraId="1C3E890A" w14:textId="77777777">
    <w:pPr>
      <w:pStyle w:val="Footer"/>
      <w:rPr>
        <w: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016F" w:rsidP="001E016F" w14:paraId="78244EA6" w14:textId="77777777">
    <w:pPr>
      <w:pStyle w:val="Header"/>
      <w:jc w:val="right"/>
      <w:rPr>
        <w:sz w:val="20"/>
        <w:szCs w:val="19"/>
      </w:rPr>
    </w:pPr>
    <w:r>
      <w:rPr>
        <w:noProof/>
      </w:rPr>
      <w:drawing>
        <wp:inline distT="0" distB="0" distL="0" distR="0">
          <wp:extent cx="1320800" cy="232663"/>
          <wp:effectExtent l="0" t="0" r="0" b="0"/>
          <wp:docPr id="1098455524" name="Picture 1" descr="A blue and black logo&#10;&#10;Description automatically generated">
            <a:extLst xmlns:a="http://schemas.openxmlformats.org/drawingml/2006/main">
              <a:ext xmlns:a="http://schemas.openxmlformats.org/drawingml/2006/main" uri="{FF2B5EF4-FFF2-40B4-BE49-F238E27FC236}">
                <a16:creationId xmlns:a16="http://schemas.microsoft.com/office/drawing/2014/main" id="{EB81F416-3C7F-4943-B65D-2128C1B55B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black logo&#10;&#10;Description automatically generated">
                    <a:extLst>
                      <a:ext xmlns:a="http://schemas.openxmlformats.org/drawingml/2006/main" uri="{FF2B5EF4-FFF2-40B4-BE49-F238E27FC236}">
                        <a16:creationId xmlns:a16="http://schemas.microsoft.com/office/drawing/2014/main" id="{EB81F416-3C7F-4943-B65D-2128C1B55B9B}"/>
                      </a:ext>
                    </a:extLst>
                  </pic:cNvPr>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51756" cy="238116"/>
                  </a:xfrm>
                  <a:prstGeom prst="rect">
                    <a:avLst/>
                  </a:prstGeom>
                </pic:spPr>
              </pic:pic>
            </a:graphicData>
          </a:graphic>
        </wp:inline>
      </w:drawing>
    </w:r>
  </w:p>
  <w:p w:rsidR="001E016F" w:rsidP="001E016F" w14:paraId="2EED3F68" w14:textId="77777777">
    <w:pPr>
      <w:pStyle w:val="Header"/>
      <w:jc w:val="right"/>
      <w:rPr>
        <w:sz w:val="20"/>
        <w:szCs w:val="19"/>
      </w:rPr>
    </w:pPr>
  </w:p>
  <w:p w:rsidR="007E02DB" w:rsidRPr="0051357C" w:rsidP="001E016F" w14:paraId="058BA07C" w14:textId="6FC3B0F0">
    <w:pPr>
      <w:pStyle w:val="Header"/>
      <w:bidi w:val="0"/>
      <w:jc w:val="right"/>
      <w:rPr>
        <w:rFonts w:asciiTheme="majorHAnsi" w:hAnsiTheme="majorHAnsi" w:cstheme="majorHAnsi"/>
        <w:sz w:val="20"/>
        <w:szCs w:val="19"/>
      </w:rPr>
    </w:pPr>
    <w:r w:rsidRPr="0051357C">
      <w:rPr>
        <w:rFonts w:asciiTheme="majorHAnsi" w:hAnsiTheme="majorHAnsi" w:cstheme="majorHAnsi"/>
        <w:sz w:val="20"/>
        <w:szCs w:val="19"/>
        <w:rtl w:val="0"/>
        <w:lang w:val="es"/>
      </w:rPr>
      <w:t xml:space="preserve">Política global de personal eventual </w:t>
    </w:r>
  </w:p>
  <w:p w:rsidR="00ED0664" w:rsidRPr="0051357C" w:rsidP="0088004E" w14:paraId="143757F2" w14:textId="680FB43D">
    <w:pPr>
      <w:pStyle w:val="Header"/>
      <w:bidi w:val="0"/>
      <w:jc w:val="right"/>
      <w:rPr>
        <w:rFonts w:asciiTheme="majorHAnsi" w:hAnsiTheme="majorHAnsi" w:cstheme="majorHAnsi"/>
        <w:sz w:val="19"/>
        <w:szCs w:val="19"/>
      </w:rPr>
    </w:pPr>
    <w:r w:rsidRPr="0051357C">
      <w:rPr>
        <w:rFonts w:asciiTheme="majorHAnsi" w:hAnsiTheme="majorHAnsi" w:cstheme="majorHAnsi"/>
        <w:sz w:val="20"/>
        <w:szCs w:val="19"/>
        <w:rtl w:val="0"/>
        <w:lang w:val="es"/>
      </w:rPr>
      <w:t>Última revisión: 2 de diciembre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442FB2"/>
    <w:multiLevelType w:val="singleLevel"/>
    <w:tmpl w:val="EDB6F554"/>
    <w:lvl w:ilvl="0">
      <w:start w:val="1"/>
      <w:numFmt w:val="bullet"/>
      <w:pStyle w:val="TableBullet"/>
      <w:lvlText w:val=""/>
      <w:lvlJc w:val="left"/>
      <w:pPr>
        <w:tabs>
          <w:tab w:val="num" w:pos="360"/>
        </w:tabs>
        <w:ind w:left="360" w:hanging="360"/>
      </w:pPr>
      <w:rPr>
        <w:rFonts w:ascii="Symbol" w:hAnsi="Symbol" w:hint="default"/>
      </w:rPr>
    </w:lvl>
  </w:abstractNum>
  <w:abstractNum w:abstractNumId="1">
    <w:nsid w:val="2CA61E32"/>
    <w:multiLevelType w:val="multilevel"/>
    <w:tmpl w:val="5FC2FE70"/>
    <w:lvl w:ilvl="0">
      <w:start w:val="1"/>
      <w:numFmt w:val="upperRoman"/>
      <w:pStyle w:val="Heading1"/>
      <w:lvlText w:val="%1."/>
      <w:lvlJc w:val="left"/>
      <w:pPr>
        <w:ind w:left="0" w:firstLine="0"/>
      </w:pPr>
    </w:lvl>
    <w:lvl w:ilvl="1">
      <w:start w:val="1"/>
      <w:numFmt w:val="upperLetter"/>
      <w:pStyle w:val="Heading2"/>
      <w:lvlText w:val="%2."/>
      <w:lvlJc w:val="left"/>
      <w:pPr>
        <w:ind w:left="27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30E322D9"/>
    <w:multiLevelType w:val="hybridMultilevel"/>
    <w:tmpl w:val="25C412C0"/>
    <w:lvl w:ilvl="0">
      <w:start w:val="1"/>
      <w:numFmt w:val="bullet"/>
      <w:pStyle w:val="List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
    <w:nsid w:val="35AC3FD3"/>
    <w:multiLevelType w:val="multilevel"/>
    <w:tmpl w:val="A73E6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BA73CE"/>
    <w:multiLevelType w:val="hybridMultilevel"/>
    <w:tmpl w:val="3B0CAACA"/>
    <w:lvl w:ilvl="0">
      <w:start w:val="1"/>
      <w:numFmt w:val="bullet"/>
      <w:lvlText w:val=""/>
      <w:lvlJc w:val="left"/>
      <w:pPr>
        <w:tabs>
          <w:tab w:val="num" w:pos="360"/>
        </w:tabs>
        <w:ind w:left="360" w:hanging="360"/>
      </w:pPr>
      <w:rPr>
        <w:rFonts w:ascii="Wingdings" w:hAnsi="Wingdings" w:hint="default"/>
        <w:color w:val="auto"/>
      </w:rPr>
    </w:lvl>
    <w:lvl w:ilvl="1">
      <w:start w:val="1"/>
      <w:numFmt w:val="bullet"/>
      <w:pStyle w:val="TableBullet2"/>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43FE2933"/>
    <w:multiLevelType w:val="multilevel"/>
    <w:tmpl w:val="9F341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190FE9"/>
    <w:multiLevelType w:val="hybridMultilevel"/>
    <w:tmpl w:val="29AE5D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8DA5158"/>
    <w:multiLevelType w:val="multilevel"/>
    <w:tmpl w:val="CDD28D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AF1601"/>
    <w:multiLevelType w:val="hybridMultilevel"/>
    <w:tmpl w:val="C06A272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9AE5C92"/>
    <w:multiLevelType w:val="hybridMultilevel"/>
    <w:tmpl w:val="21E6B9C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9"/>
  </w:num>
  <w:num w:numId="6">
    <w:abstractNumId w:val="6"/>
  </w:num>
  <w:num w:numId="7">
    <w:abstractNumId w:val="8"/>
  </w:num>
  <w:num w:numId="8">
    <w:abstractNumId w:val="3"/>
  </w:num>
  <w:num w:numId="9">
    <w:abstractNumId w:val="5"/>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49"/>
    <w:rsid w:val="000011CB"/>
    <w:rsid w:val="00001A42"/>
    <w:rsid w:val="000025F7"/>
    <w:rsid w:val="00002B1A"/>
    <w:rsid w:val="00002C66"/>
    <w:rsid w:val="00003CA9"/>
    <w:rsid w:val="00005666"/>
    <w:rsid w:val="00006E5C"/>
    <w:rsid w:val="0001014C"/>
    <w:rsid w:val="000104AC"/>
    <w:rsid w:val="00011460"/>
    <w:rsid w:val="000117B6"/>
    <w:rsid w:val="00013616"/>
    <w:rsid w:val="000200EC"/>
    <w:rsid w:val="0002212F"/>
    <w:rsid w:val="00023788"/>
    <w:rsid w:val="00024885"/>
    <w:rsid w:val="00026127"/>
    <w:rsid w:val="00026C0F"/>
    <w:rsid w:val="00026F3C"/>
    <w:rsid w:val="00027249"/>
    <w:rsid w:val="00031E43"/>
    <w:rsid w:val="000322A9"/>
    <w:rsid w:val="00034769"/>
    <w:rsid w:val="000439D5"/>
    <w:rsid w:val="000447EA"/>
    <w:rsid w:val="00044C3A"/>
    <w:rsid w:val="00044CB4"/>
    <w:rsid w:val="0004799F"/>
    <w:rsid w:val="00050326"/>
    <w:rsid w:val="00050B4B"/>
    <w:rsid w:val="00051864"/>
    <w:rsid w:val="0005274B"/>
    <w:rsid w:val="00052988"/>
    <w:rsid w:val="00054CEE"/>
    <w:rsid w:val="00054CF0"/>
    <w:rsid w:val="000561C5"/>
    <w:rsid w:val="00056AE1"/>
    <w:rsid w:val="00056E23"/>
    <w:rsid w:val="0005720D"/>
    <w:rsid w:val="0006222E"/>
    <w:rsid w:val="0006239C"/>
    <w:rsid w:val="00062867"/>
    <w:rsid w:val="00064428"/>
    <w:rsid w:val="0006452C"/>
    <w:rsid w:val="00066023"/>
    <w:rsid w:val="00066940"/>
    <w:rsid w:val="000679BE"/>
    <w:rsid w:val="000710A9"/>
    <w:rsid w:val="00072C53"/>
    <w:rsid w:val="0007518F"/>
    <w:rsid w:val="0007629F"/>
    <w:rsid w:val="000776D0"/>
    <w:rsid w:val="00080AEA"/>
    <w:rsid w:val="000815AD"/>
    <w:rsid w:val="00082C0F"/>
    <w:rsid w:val="0008480B"/>
    <w:rsid w:val="0009048A"/>
    <w:rsid w:val="00090EDB"/>
    <w:rsid w:val="00091223"/>
    <w:rsid w:val="0009220E"/>
    <w:rsid w:val="00092D40"/>
    <w:rsid w:val="000942C3"/>
    <w:rsid w:val="00095503"/>
    <w:rsid w:val="00095A11"/>
    <w:rsid w:val="00096E98"/>
    <w:rsid w:val="00097E3B"/>
    <w:rsid w:val="000B0510"/>
    <w:rsid w:val="000B1113"/>
    <w:rsid w:val="000B12A2"/>
    <w:rsid w:val="000B581D"/>
    <w:rsid w:val="000B5B33"/>
    <w:rsid w:val="000B5DEA"/>
    <w:rsid w:val="000B6CBA"/>
    <w:rsid w:val="000B76B4"/>
    <w:rsid w:val="000C1CF9"/>
    <w:rsid w:val="000C1FED"/>
    <w:rsid w:val="000C4BEC"/>
    <w:rsid w:val="000D196D"/>
    <w:rsid w:val="000D597D"/>
    <w:rsid w:val="000D7B33"/>
    <w:rsid w:val="000E1269"/>
    <w:rsid w:val="000E19B5"/>
    <w:rsid w:val="000E1C2A"/>
    <w:rsid w:val="000E236C"/>
    <w:rsid w:val="000E6635"/>
    <w:rsid w:val="000E6BF3"/>
    <w:rsid w:val="000E7031"/>
    <w:rsid w:val="000E7A75"/>
    <w:rsid w:val="000F22CB"/>
    <w:rsid w:val="000F2F10"/>
    <w:rsid w:val="000F4767"/>
    <w:rsid w:val="000F4D50"/>
    <w:rsid w:val="000F50AF"/>
    <w:rsid w:val="000F66A3"/>
    <w:rsid w:val="000F7303"/>
    <w:rsid w:val="000F7428"/>
    <w:rsid w:val="000F7575"/>
    <w:rsid w:val="000F7F75"/>
    <w:rsid w:val="0010215A"/>
    <w:rsid w:val="00104665"/>
    <w:rsid w:val="00104C28"/>
    <w:rsid w:val="0010659C"/>
    <w:rsid w:val="001112FA"/>
    <w:rsid w:val="00111D7A"/>
    <w:rsid w:val="00113941"/>
    <w:rsid w:val="0011636F"/>
    <w:rsid w:val="00116492"/>
    <w:rsid w:val="001169E2"/>
    <w:rsid w:val="00117AF6"/>
    <w:rsid w:val="001201E3"/>
    <w:rsid w:val="00120E55"/>
    <w:rsid w:val="001223DD"/>
    <w:rsid w:val="001223E3"/>
    <w:rsid w:val="00122AF6"/>
    <w:rsid w:val="0012377B"/>
    <w:rsid w:val="00125E68"/>
    <w:rsid w:val="001274CE"/>
    <w:rsid w:val="0012791A"/>
    <w:rsid w:val="0013134C"/>
    <w:rsid w:val="00133080"/>
    <w:rsid w:val="00134168"/>
    <w:rsid w:val="00134918"/>
    <w:rsid w:val="00135945"/>
    <w:rsid w:val="00141344"/>
    <w:rsid w:val="00141A2C"/>
    <w:rsid w:val="00142B9D"/>
    <w:rsid w:val="001430E4"/>
    <w:rsid w:val="00145D5C"/>
    <w:rsid w:val="001461E2"/>
    <w:rsid w:val="00146F74"/>
    <w:rsid w:val="00147AE9"/>
    <w:rsid w:val="00150609"/>
    <w:rsid w:val="00150C9D"/>
    <w:rsid w:val="00153EA4"/>
    <w:rsid w:val="001542E6"/>
    <w:rsid w:val="001551A5"/>
    <w:rsid w:val="0015669C"/>
    <w:rsid w:val="00157F69"/>
    <w:rsid w:val="001606B6"/>
    <w:rsid w:val="00160996"/>
    <w:rsid w:val="00160C8F"/>
    <w:rsid w:val="00161E4F"/>
    <w:rsid w:val="0016204C"/>
    <w:rsid w:val="00162A8C"/>
    <w:rsid w:val="00163A6C"/>
    <w:rsid w:val="00165268"/>
    <w:rsid w:val="00165A27"/>
    <w:rsid w:val="0017056B"/>
    <w:rsid w:val="00170A83"/>
    <w:rsid w:val="001725ED"/>
    <w:rsid w:val="00172A19"/>
    <w:rsid w:val="00172C99"/>
    <w:rsid w:val="00173781"/>
    <w:rsid w:val="00175B1D"/>
    <w:rsid w:val="00177EE1"/>
    <w:rsid w:val="0018244F"/>
    <w:rsid w:val="00182AC1"/>
    <w:rsid w:val="00183AC5"/>
    <w:rsid w:val="00183C98"/>
    <w:rsid w:val="00184BDA"/>
    <w:rsid w:val="00186E34"/>
    <w:rsid w:val="001871C6"/>
    <w:rsid w:val="00190B85"/>
    <w:rsid w:val="00190D8A"/>
    <w:rsid w:val="0019196A"/>
    <w:rsid w:val="001920E8"/>
    <w:rsid w:val="001928DE"/>
    <w:rsid w:val="0019688D"/>
    <w:rsid w:val="001A08E9"/>
    <w:rsid w:val="001A1A27"/>
    <w:rsid w:val="001A1F7D"/>
    <w:rsid w:val="001A2505"/>
    <w:rsid w:val="001A3173"/>
    <w:rsid w:val="001A527A"/>
    <w:rsid w:val="001A5AC0"/>
    <w:rsid w:val="001A7AA9"/>
    <w:rsid w:val="001B147D"/>
    <w:rsid w:val="001B198B"/>
    <w:rsid w:val="001B20A3"/>
    <w:rsid w:val="001B22E4"/>
    <w:rsid w:val="001B2962"/>
    <w:rsid w:val="001B369F"/>
    <w:rsid w:val="001B413B"/>
    <w:rsid w:val="001B55D7"/>
    <w:rsid w:val="001B74E4"/>
    <w:rsid w:val="001C22CD"/>
    <w:rsid w:val="001C4271"/>
    <w:rsid w:val="001C45C6"/>
    <w:rsid w:val="001C4B8D"/>
    <w:rsid w:val="001C5E7D"/>
    <w:rsid w:val="001C65FA"/>
    <w:rsid w:val="001C66EF"/>
    <w:rsid w:val="001C7BEC"/>
    <w:rsid w:val="001D049B"/>
    <w:rsid w:val="001D10BB"/>
    <w:rsid w:val="001D2A5E"/>
    <w:rsid w:val="001D3B25"/>
    <w:rsid w:val="001D455C"/>
    <w:rsid w:val="001E016F"/>
    <w:rsid w:val="001E5866"/>
    <w:rsid w:val="001E785E"/>
    <w:rsid w:val="001F096A"/>
    <w:rsid w:val="001F184D"/>
    <w:rsid w:val="001F1AF3"/>
    <w:rsid w:val="001F1C3B"/>
    <w:rsid w:val="001F1C9A"/>
    <w:rsid w:val="001F296D"/>
    <w:rsid w:val="001F2EE5"/>
    <w:rsid w:val="001F46CB"/>
    <w:rsid w:val="001F5235"/>
    <w:rsid w:val="001F5D85"/>
    <w:rsid w:val="001F62AF"/>
    <w:rsid w:val="001F68D2"/>
    <w:rsid w:val="002000DC"/>
    <w:rsid w:val="002007A3"/>
    <w:rsid w:val="00202563"/>
    <w:rsid w:val="00202823"/>
    <w:rsid w:val="0020484F"/>
    <w:rsid w:val="0020592B"/>
    <w:rsid w:val="00207100"/>
    <w:rsid w:val="00210416"/>
    <w:rsid w:val="002131B9"/>
    <w:rsid w:val="0021425F"/>
    <w:rsid w:val="002159B2"/>
    <w:rsid w:val="0022318B"/>
    <w:rsid w:val="0022371B"/>
    <w:rsid w:val="00224604"/>
    <w:rsid w:val="00224AB6"/>
    <w:rsid w:val="00227034"/>
    <w:rsid w:val="00230933"/>
    <w:rsid w:val="00230BDB"/>
    <w:rsid w:val="00232C1C"/>
    <w:rsid w:val="00233342"/>
    <w:rsid w:val="002333FF"/>
    <w:rsid w:val="0023407D"/>
    <w:rsid w:val="00237960"/>
    <w:rsid w:val="00237CA9"/>
    <w:rsid w:val="002417BE"/>
    <w:rsid w:val="00242FA4"/>
    <w:rsid w:val="002436BF"/>
    <w:rsid w:val="002467C6"/>
    <w:rsid w:val="002512BF"/>
    <w:rsid w:val="00255ABC"/>
    <w:rsid w:val="00260249"/>
    <w:rsid w:val="00262C88"/>
    <w:rsid w:val="00263999"/>
    <w:rsid w:val="00263CCA"/>
    <w:rsid w:val="00263DCC"/>
    <w:rsid w:val="00264C83"/>
    <w:rsid w:val="00264FCD"/>
    <w:rsid w:val="00265B75"/>
    <w:rsid w:val="00266484"/>
    <w:rsid w:val="002700AE"/>
    <w:rsid w:val="00276EF9"/>
    <w:rsid w:val="00277653"/>
    <w:rsid w:val="002821D0"/>
    <w:rsid w:val="00282DB4"/>
    <w:rsid w:val="00283D51"/>
    <w:rsid w:val="00284EB2"/>
    <w:rsid w:val="00286115"/>
    <w:rsid w:val="00286765"/>
    <w:rsid w:val="00286F56"/>
    <w:rsid w:val="0028735B"/>
    <w:rsid w:val="00292F5A"/>
    <w:rsid w:val="002938A5"/>
    <w:rsid w:val="00293F96"/>
    <w:rsid w:val="00296678"/>
    <w:rsid w:val="00297D78"/>
    <w:rsid w:val="00297E29"/>
    <w:rsid w:val="002A0774"/>
    <w:rsid w:val="002A0F0C"/>
    <w:rsid w:val="002A6543"/>
    <w:rsid w:val="002A708C"/>
    <w:rsid w:val="002A7F64"/>
    <w:rsid w:val="002B025A"/>
    <w:rsid w:val="002B0A60"/>
    <w:rsid w:val="002B1263"/>
    <w:rsid w:val="002B28DC"/>
    <w:rsid w:val="002B29E4"/>
    <w:rsid w:val="002B3CEE"/>
    <w:rsid w:val="002B5B85"/>
    <w:rsid w:val="002B63CF"/>
    <w:rsid w:val="002B6672"/>
    <w:rsid w:val="002C0CA7"/>
    <w:rsid w:val="002C2C1A"/>
    <w:rsid w:val="002C33BB"/>
    <w:rsid w:val="002C35B9"/>
    <w:rsid w:val="002C3705"/>
    <w:rsid w:val="002C7FAC"/>
    <w:rsid w:val="002D03F2"/>
    <w:rsid w:val="002D24FF"/>
    <w:rsid w:val="002D38EF"/>
    <w:rsid w:val="002E0C75"/>
    <w:rsid w:val="002E30B6"/>
    <w:rsid w:val="002E64CA"/>
    <w:rsid w:val="002F1868"/>
    <w:rsid w:val="002F197E"/>
    <w:rsid w:val="002F2B5A"/>
    <w:rsid w:val="002F492E"/>
    <w:rsid w:val="002F574B"/>
    <w:rsid w:val="002F653D"/>
    <w:rsid w:val="002F6EC9"/>
    <w:rsid w:val="00300A55"/>
    <w:rsid w:val="0030142F"/>
    <w:rsid w:val="00302253"/>
    <w:rsid w:val="00302EF9"/>
    <w:rsid w:val="003062AD"/>
    <w:rsid w:val="00310619"/>
    <w:rsid w:val="0031176B"/>
    <w:rsid w:val="00312760"/>
    <w:rsid w:val="00314945"/>
    <w:rsid w:val="003150EE"/>
    <w:rsid w:val="003155B3"/>
    <w:rsid w:val="003156D4"/>
    <w:rsid w:val="0031699E"/>
    <w:rsid w:val="003206D4"/>
    <w:rsid w:val="0032378E"/>
    <w:rsid w:val="00324706"/>
    <w:rsid w:val="00325329"/>
    <w:rsid w:val="003269DF"/>
    <w:rsid w:val="003274CF"/>
    <w:rsid w:val="00330E2B"/>
    <w:rsid w:val="003317A5"/>
    <w:rsid w:val="00336AF3"/>
    <w:rsid w:val="00337B8A"/>
    <w:rsid w:val="003402B5"/>
    <w:rsid w:val="00341C43"/>
    <w:rsid w:val="00341F30"/>
    <w:rsid w:val="00342E56"/>
    <w:rsid w:val="00343072"/>
    <w:rsid w:val="00344F46"/>
    <w:rsid w:val="003464B7"/>
    <w:rsid w:val="003467A7"/>
    <w:rsid w:val="00351036"/>
    <w:rsid w:val="003516EF"/>
    <w:rsid w:val="00351972"/>
    <w:rsid w:val="00355B9F"/>
    <w:rsid w:val="0035609A"/>
    <w:rsid w:val="00362993"/>
    <w:rsid w:val="0036756B"/>
    <w:rsid w:val="00371264"/>
    <w:rsid w:val="00371B0A"/>
    <w:rsid w:val="00372EEF"/>
    <w:rsid w:val="0037353F"/>
    <w:rsid w:val="003802B6"/>
    <w:rsid w:val="003823C8"/>
    <w:rsid w:val="00383254"/>
    <w:rsid w:val="0038394D"/>
    <w:rsid w:val="00385EBC"/>
    <w:rsid w:val="00386D47"/>
    <w:rsid w:val="00387FBE"/>
    <w:rsid w:val="0039343D"/>
    <w:rsid w:val="00396A87"/>
    <w:rsid w:val="003971DC"/>
    <w:rsid w:val="00397CE9"/>
    <w:rsid w:val="00397D67"/>
    <w:rsid w:val="00397E2E"/>
    <w:rsid w:val="003A1B39"/>
    <w:rsid w:val="003A36E4"/>
    <w:rsid w:val="003A3A91"/>
    <w:rsid w:val="003A3DE7"/>
    <w:rsid w:val="003A5F43"/>
    <w:rsid w:val="003A6BF9"/>
    <w:rsid w:val="003B0A0F"/>
    <w:rsid w:val="003B1541"/>
    <w:rsid w:val="003B208A"/>
    <w:rsid w:val="003B2A40"/>
    <w:rsid w:val="003B7F5A"/>
    <w:rsid w:val="003C1B08"/>
    <w:rsid w:val="003C29C4"/>
    <w:rsid w:val="003C573A"/>
    <w:rsid w:val="003C6DC6"/>
    <w:rsid w:val="003D042A"/>
    <w:rsid w:val="003D1483"/>
    <w:rsid w:val="003D39A5"/>
    <w:rsid w:val="003D5CC6"/>
    <w:rsid w:val="003E06C9"/>
    <w:rsid w:val="003E17FD"/>
    <w:rsid w:val="003E225E"/>
    <w:rsid w:val="003E273A"/>
    <w:rsid w:val="003E3254"/>
    <w:rsid w:val="003E3331"/>
    <w:rsid w:val="003E42B9"/>
    <w:rsid w:val="003E512C"/>
    <w:rsid w:val="003E5880"/>
    <w:rsid w:val="003E5A2B"/>
    <w:rsid w:val="003E6A16"/>
    <w:rsid w:val="003E6CBD"/>
    <w:rsid w:val="003E76ED"/>
    <w:rsid w:val="003F0DC7"/>
    <w:rsid w:val="003F1542"/>
    <w:rsid w:val="003F1B5B"/>
    <w:rsid w:val="003F2301"/>
    <w:rsid w:val="003F41A5"/>
    <w:rsid w:val="0040024C"/>
    <w:rsid w:val="00400C2C"/>
    <w:rsid w:val="004023BB"/>
    <w:rsid w:val="00403E4C"/>
    <w:rsid w:val="00404289"/>
    <w:rsid w:val="004046AB"/>
    <w:rsid w:val="00405601"/>
    <w:rsid w:val="00411C64"/>
    <w:rsid w:val="0041224D"/>
    <w:rsid w:val="00412588"/>
    <w:rsid w:val="00413753"/>
    <w:rsid w:val="00415E01"/>
    <w:rsid w:val="0041602C"/>
    <w:rsid w:val="00416D23"/>
    <w:rsid w:val="00417648"/>
    <w:rsid w:val="004208EF"/>
    <w:rsid w:val="00423067"/>
    <w:rsid w:val="0042543F"/>
    <w:rsid w:val="0042629E"/>
    <w:rsid w:val="004302F0"/>
    <w:rsid w:val="004338BB"/>
    <w:rsid w:val="00434957"/>
    <w:rsid w:val="00434A35"/>
    <w:rsid w:val="004358EB"/>
    <w:rsid w:val="00436361"/>
    <w:rsid w:val="00437028"/>
    <w:rsid w:val="004377E9"/>
    <w:rsid w:val="004458A4"/>
    <w:rsid w:val="0044697D"/>
    <w:rsid w:val="00447C59"/>
    <w:rsid w:val="00450420"/>
    <w:rsid w:val="00450879"/>
    <w:rsid w:val="00454939"/>
    <w:rsid w:val="00455443"/>
    <w:rsid w:val="00455ADA"/>
    <w:rsid w:val="00456429"/>
    <w:rsid w:val="0045642A"/>
    <w:rsid w:val="0045678D"/>
    <w:rsid w:val="004613FB"/>
    <w:rsid w:val="00462060"/>
    <w:rsid w:val="00463DFF"/>
    <w:rsid w:val="00466372"/>
    <w:rsid w:val="0046641F"/>
    <w:rsid w:val="00466E01"/>
    <w:rsid w:val="00472400"/>
    <w:rsid w:val="00472540"/>
    <w:rsid w:val="00473D03"/>
    <w:rsid w:val="00473E97"/>
    <w:rsid w:val="00474738"/>
    <w:rsid w:val="00476B26"/>
    <w:rsid w:val="00476DD2"/>
    <w:rsid w:val="00476F68"/>
    <w:rsid w:val="00480403"/>
    <w:rsid w:val="00484EE0"/>
    <w:rsid w:val="00486C1F"/>
    <w:rsid w:val="00487DC9"/>
    <w:rsid w:val="00492943"/>
    <w:rsid w:val="00493EF2"/>
    <w:rsid w:val="00494746"/>
    <w:rsid w:val="00497784"/>
    <w:rsid w:val="004A040D"/>
    <w:rsid w:val="004A4C3B"/>
    <w:rsid w:val="004A4CB9"/>
    <w:rsid w:val="004A5882"/>
    <w:rsid w:val="004A5981"/>
    <w:rsid w:val="004A5ABA"/>
    <w:rsid w:val="004B1841"/>
    <w:rsid w:val="004B21AF"/>
    <w:rsid w:val="004B3BF1"/>
    <w:rsid w:val="004B59AE"/>
    <w:rsid w:val="004B5AA2"/>
    <w:rsid w:val="004B6DE1"/>
    <w:rsid w:val="004B7753"/>
    <w:rsid w:val="004B7B87"/>
    <w:rsid w:val="004C249C"/>
    <w:rsid w:val="004C5231"/>
    <w:rsid w:val="004C6A30"/>
    <w:rsid w:val="004C6D39"/>
    <w:rsid w:val="004C72DD"/>
    <w:rsid w:val="004C7E19"/>
    <w:rsid w:val="004D1001"/>
    <w:rsid w:val="004D11EA"/>
    <w:rsid w:val="004D1F4E"/>
    <w:rsid w:val="004D4194"/>
    <w:rsid w:val="004D4440"/>
    <w:rsid w:val="004D6016"/>
    <w:rsid w:val="004D6BF1"/>
    <w:rsid w:val="004D7210"/>
    <w:rsid w:val="004E2545"/>
    <w:rsid w:val="004E33A8"/>
    <w:rsid w:val="004E3427"/>
    <w:rsid w:val="004E3658"/>
    <w:rsid w:val="004E47E2"/>
    <w:rsid w:val="004E4EAB"/>
    <w:rsid w:val="004E6945"/>
    <w:rsid w:val="004E717E"/>
    <w:rsid w:val="004E749B"/>
    <w:rsid w:val="004E78F9"/>
    <w:rsid w:val="004F0C57"/>
    <w:rsid w:val="004F2E81"/>
    <w:rsid w:val="005004B6"/>
    <w:rsid w:val="005004BB"/>
    <w:rsid w:val="00500682"/>
    <w:rsid w:val="0050147B"/>
    <w:rsid w:val="00505D00"/>
    <w:rsid w:val="0050667B"/>
    <w:rsid w:val="00511372"/>
    <w:rsid w:val="0051357C"/>
    <w:rsid w:val="00516807"/>
    <w:rsid w:val="00517480"/>
    <w:rsid w:val="0052006D"/>
    <w:rsid w:val="00522C55"/>
    <w:rsid w:val="00523910"/>
    <w:rsid w:val="00524EB4"/>
    <w:rsid w:val="00524F72"/>
    <w:rsid w:val="00525081"/>
    <w:rsid w:val="00526800"/>
    <w:rsid w:val="00526C68"/>
    <w:rsid w:val="005308D4"/>
    <w:rsid w:val="00532007"/>
    <w:rsid w:val="005337EA"/>
    <w:rsid w:val="00535770"/>
    <w:rsid w:val="00536297"/>
    <w:rsid w:val="00536529"/>
    <w:rsid w:val="005367ED"/>
    <w:rsid w:val="00542714"/>
    <w:rsid w:val="0054385E"/>
    <w:rsid w:val="00544B6A"/>
    <w:rsid w:val="00544C25"/>
    <w:rsid w:val="005454F8"/>
    <w:rsid w:val="00547358"/>
    <w:rsid w:val="0054752F"/>
    <w:rsid w:val="00553878"/>
    <w:rsid w:val="00553BC8"/>
    <w:rsid w:val="0055536A"/>
    <w:rsid w:val="0055735A"/>
    <w:rsid w:val="00567127"/>
    <w:rsid w:val="00570203"/>
    <w:rsid w:val="00571DAC"/>
    <w:rsid w:val="00574085"/>
    <w:rsid w:val="005743B7"/>
    <w:rsid w:val="00575F28"/>
    <w:rsid w:val="0057783B"/>
    <w:rsid w:val="00577A70"/>
    <w:rsid w:val="00577BD6"/>
    <w:rsid w:val="00577EB8"/>
    <w:rsid w:val="005804F5"/>
    <w:rsid w:val="005816E0"/>
    <w:rsid w:val="00585E9F"/>
    <w:rsid w:val="00587F5D"/>
    <w:rsid w:val="00590A8D"/>
    <w:rsid w:val="00590DF0"/>
    <w:rsid w:val="00592474"/>
    <w:rsid w:val="00592AE0"/>
    <w:rsid w:val="00592B2D"/>
    <w:rsid w:val="00593902"/>
    <w:rsid w:val="00594424"/>
    <w:rsid w:val="0059487B"/>
    <w:rsid w:val="00594FD4"/>
    <w:rsid w:val="00595EB1"/>
    <w:rsid w:val="00597384"/>
    <w:rsid w:val="005A0F86"/>
    <w:rsid w:val="005A1B76"/>
    <w:rsid w:val="005A2993"/>
    <w:rsid w:val="005A4C4A"/>
    <w:rsid w:val="005A4DCC"/>
    <w:rsid w:val="005A5861"/>
    <w:rsid w:val="005A6272"/>
    <w:rsid w:val="005A6F02"/>
    <w:rsid w:val="005A7D67"/>
    <w:rsid w:val="005B0466"/>
    <w:rsid w:val="005B05D6"/>
    <w:rsid w:val="005B1562"/>
    <w:rsid w:val="005B233D"/>
    <w:rsid w:val="005B354A"/>
    <w:rsid w:val="005B3B87"/>
    <w:rsid w:val="005B3D2C"/>
    <w:rsid w:val="005B6160"/>
    <w:rsid w:val="005C4F47"/>
    <w:rsid w:val="005C69CE"/>
    <w:rsid w:val="005D0355"/>
    <w:rsid w:val="005D0F81"/>
    <w:rsid w:val="005D22ED"/>
    <w:rsid w:val="005D33C0"/>
    <w:rsid w:val="005D33C3"/>
    <w:rsid w:val="005D510E"/>
    <w:rsid w:val="005D5F44"/>
    <w:rsid w:val="005D6B24"/>
    <w:rsid w:val="005E1502"/>
    <w:rsid w:val="005E343B"/>
    <w:rsid w:val="005E363D"/>
    <w:rsid w:val="005E5BC3"/>
    <w:rsid w:val="005F009E"/>
    <w:rsid w:val="005F1DCA"/>
    <w:rsid w:val="005F3D1A"/>
    <w:rsid w:val="005F4E79"/>
    <w:rsid w:val="005F53F9"/>
    <w:rsid w:val="005F58DF"/>
    <w:rsid w:val="00600AAB"/>
    <w:rsid w:val="00600C89"/>
    <w:rsid w:val="00601A34"/>
    <w:rsid w:val="00603842"/>
    <w:rsid w:val="006049F9"/>
    <w:rsid w:val="006053EF"/>
    <w:rsid w:val="00610492"/>
    <w:rsid w:val="0061434A"/>
    <w:rsid w:val="00614B3B"/>
    <w:rsid w:val="0061532C"/>
    <w:rsid w:val="00615516"/>
    <w:rsid w:val="00615970"/>
    <w:rsid w:val="00617ECF"/>
    <w:rsid w:val="00622197"/>
    <w:rsid w:val="006231F8"/>
    <w:rsid w:val="0062644A"/>
    <w:rsid w:val="00627D86"/>
    <w:rsid w:val="00630983"/>
    <w:rsid w:val="00630A98"/>
    <w:rsid w:val="0063499A"/>
    <w:rsid w:val="00634ACB"/>
    <w:rsid w:val="006357DC"/>
    <w:rsid w:val="006368ED"/>
    <w:rsid w:val="006375F8"/>
    <w:rsid w:val="00640AD9"/>
    <w:rsid w:val="0064257B"/>
    <w:rsid w:val="00642BD5"/>
    <w:rsid w:val="00644C54"/>
    <w:rsid w:val="00646015"/>
    <w:rsid w:val="00651103"/>
    <w:rsid w:val="006536B1"/>
    <w:rsid w:val="00654EF2"/>
    <w:rsid w:val="006566BC"/>
    <w:rsid w:val="00656BCC"/>
    <w:rsid w:val="00660834"/>
    <w:rsid w:val="00662BA6"/>
    <w:rsid w:val="00663024"/>
    <w:rsid w:val="006662DF"/>
    <w:rsid w:val="00666894"/>
    <w:rsid w:val="00667221"/>
    <w:rsid w:val="00673FC4"/>
    <w:rsid w:val="00677DE3"/>
    <w:rsid w:val="00677E25"/>
    <w:rsid w:val="00681A52"/>
    <w:rsid w:val="00683D29"/>
    <w:rsid w:val="00686753"/>
    <w:rsid w:val="00686C24"/>
    <w:rsid w:val="00687ACC"/>
    <w:rsid w:val="006909E9"/>
    <w:rsid w:val="0069198D"/>
    <w:rsid w:val="00692077"/>
    <w:rsid w:val="00693945"/>
    <w:rsid w:val="00694062"/>
    <w:rsid w:val="006942B7"/>
    <w:rsid w:val="006952A7"/>
    <w:rsid w:val="00696510"/>
    <w:rsid w:val="00696AB0"/>
    <w:rsid w:val="00696E59"/>
    <w:rsid w:val="006A3873"/>
    <w:rsid w:val="006A3993"/>
    <w:rsid w:val="006A5336"/>
    <w:rsid w:val="006A5C62"/>
    <w:rsid w:val="006A6694"/>
    <w:rsid w:val="006A7655"/>
    <w:rsid w:val="006B02F5"/>
    <w:rsid w:val="006B13F0"/>
    <w:rsid w:val="006B2DDC"/>
    <w:rsid w:val="006B3752"/>
    <w:rsid w:val="006B63A9"/>
    <w:rsid w:val="006B67D6"/>
    <w:rsid w:val="006B7171"/>
    <w:rsid w:val="006B7893"/>
    <w:rsid w:val="006C0975"/>
    <w:rsid w:val="006C11EA"/>
    <w:rsid w:val="006C20FB"/>
    <w:rsid w:val="006C2A90"/>
    <w:rsid w:val="006C341A"/>
    <w:rsid w:val="006C3EBE"/>
    <w:rsid w:val="006C3F6E"/>
    <w:rsid w:val="006C451A"/>
    <w:rsid w:val="006C578A"/>
    <w:rsid w:val="006C5D76"/>
    <w:rsid w:val="006C6298"/>
    <w:rsid w:val="006D1D3E"/>
    <w:rsid w:val="006D2932"/>
    <w:rsid w:val="006D32E8"/>
    <w:rsid w:val="006D35A3"/>
    <w:rsid w:val="006D3EA4"/>
    <w:rsid w:val="006D3F7B"/>
    <w:rsid w:val="006D468D"/>
    <w:rsid w:val="006D64A8"/>
    <w:rsid w:val="006D6813"/>
    <w:rsid w:val="006E001B"/>
    <w:rsid w:val="006E0684"/>
    <w:rsid w:val="006E0749"/>
    <w:rsid w:val="006E1E21"/>
    <w:rsid w:val="006E1ECC"/>
    <w:rsid w:val="006E49C3"/>
    <w:rsid w:val="006E53F7"/>
    <w:rsid w:val="006E5525"/>
    <w:rsid w:val="006E7F08"/>
    <w:rsid w:val="006F2F0E"/>
    <w:rsid w:val="006F3B24"/>
    <w:rsid w:val="006F465E"/>
    <w:rsid w:val="006F4F02"/>
    <w:rsid w:val="006F5304"/>
    <w:rsid w:val="006F5980"/>
    <w:rsid w:val="006F655F"/>
    <w:rsid w:val="006F700D"/>
    <w:rsid w:val="00700822"/>
    <w:rsid w:val="00701FDC"/>
    <w:rsid w:val="0070296B"/>
    <w:rsid w:val="00703DC3"/>
    <w:rsid w:val="007061CA"/>
    <w:rsid w:val="007061CF"/>
    <w:rsid w:val="007068B6"/>
    <w:rsid w:val="007111B1"/>
    <w:rsid w:val="00713C68"/>
    <w:rsid w:val="007142C7"/>
    <w:rsid w:val="007164DE"/>
    <w:rsid w:val="00716D3D"/>
    <w:rsid w:val="007171DE"/>
    <w:rsid w:val="00721BB8"/>
    <w:rsid w:val="00721E1D"/>
    <w:rsid w:val="00723B0B"/>
    <w:rsid w:val="007250A0"/>
    <w:rsid w:val="00726048"/>
    <w:rsid w:val="0072734D"/>
    <w:rsid w:val="00730EAF"/>
    <w:rsid w:val="00730F13"/>
    <w:rsid w:val="00734B86"/>
    <w:rsid w:val="00735972"/>
    <w:rsid w:val="00736023"/>
    <w:rsid w:val="0074239A"/>
    <w:rsid w:val="007427E9"/>
    <w:rsid w:val="007471E3"/>
    <w:rsid w:val="0075082F"/>
    <w:rsid w:val="00751AF9"/>
    <w:rsid w:val="00751FD1"/>
    <w:rsid w:val="00753A13"/>
    <w:rsid w:val="00756FBC"/>
    <w:rsid w:val="0075773A"/>
    <w:rsid w:val="007638A0"/>
    <w:rsid w:val="00767572"/>
    <w:rsid w:val="00767F25"/>
    <w:rsid w:val="00772836"/>
    <w:rsid w:val="007730F9"/>
    <w:rsid w:val="0077317B"/>
    <w:rsid w:val="007734B3"/>
    <w:rsid w:val="00782377"/>
    <w:rsid w:val="00782460"/>
    <w:rsid w:val="007824F7"/>
    <w:rsid w:val="00782863"/>
    <w:rsid w:val="00782CF4"/>
    <w:rsid w:val="00783FA9"/>
    <w:rsid w:val="0078474A"/>
    <w:rsid w:val="00786127"/>
    <w:rsid w:val="007866F5"/>
    <w:rsid w:val="00786AC3"/>
    <w:rsid w:val="007873C7"/>
    <w:rsid w:val="007921A8"/>
    <w:rsid w:val="0079483E"/>
    <w:rsid w:val="007A1771"/>
    <w:rsid w:val="007A2107"/>
    <w:rsid w:val="007A38C0"/>
    <w:rsid w:val="007A5574"/>
    <w:rsid w:val="007A5A30"/>
    <w:rsid w:val="007B1EF2"/>
    <w:rsid w:val="007B31EF"/>
    <w:rsid w:val="007B411D"/>
    <w:rsid w:val="007B6667"/>
    <w:rsid w:val="007C0253"/>
    <w:rsid w:val="007C3DE0"/>
    <w:rsid w:val="007C4E36"/>
    <w:rsid w:val="007D151A"/>
    <w:rsid w:val="007D2D0B"/>
    <w:rsid w:val="007D3C5F"/>
    <w:rsid w:val="007D3DCC"/>
    <w:rsid w:val="007D4AFA"/>
    <w:rsid w:val="007D6515"/>
    <w:rsid w:val="007E02DB"/>
    <w:rsid w:val="007E49DA"/>
    <w:rsid w:val="007E66C1"/>
    <w:rsid w:val="007E7BBC"/>
    <w:rsid w:val="007E7C0C"/>
    <w:rsid w:val="007F342A"/>
    <w:rsid w:val="007F3538"/>
    <w:rsid w:val="007F4EE7"/>
    <w:rsid w:val="007F57C1"/>
    <w:rsid w:val="007F5818"/>
    <w:rsid w:val="007F6BCA"/>
    <w:rsid w:val="007F715F"/>
    <w:rsid w:val="007F7ACC"/>
    <w:rsid w:val="008022D3"/>
    <w:rsid w:val="00804C2C"/>
    <w:rsid w:val="00810051"/>
    <w:rsid w:val="008117F9"/>
    <w:rsid w:val="00811B3E"/>
    <w:rsid w:val="00811D34"/>
    <w:rsid w:val="00812012"/>
    <w:rsid w:val="00813521"/>
    <w:rsid w:val="008137BE"/>
    <w:rsid w:val="008161DD"/>
    <w:rsid w:val="00817956"/>
    <w:rsid w:val="00820532"/>
    <w:rsid w:val="008219E2"/>
    <w:rsid w:val="00822150"/>
    <w:rsid w:val="00823679"/>
    <w:rsid w:val="00824FA5"/>
    <w:rsid w:val="00825773"/>
    <w:rsid w:val="008270D5"/>
    <w:rsid w:val="0083299B"/>
    <w:rsid w:val="00833B87"/>
    <w:rsid w:val="008352B7"/>
    <w:rsid w:val="00836DB9"/>
    <w:rsid w:val="008371BD"/>
    <w:rsid w:val="00837621"/>
    <w:rsid w:val="00842544"/>
    <w:rsid w:val="00844954"/>
    <w:rsid w:val="00844D4F"/>
    <w:rsid w:val="008464AB"/>
    <w:rsid w:val="00847210"/>
    <w:rsid w:val="00847EA7"/>
    <w:rsid w:val="00851A67"/>
    <w:rsid w:val="00852809"/>
    <w:rsid w:val="00852C02"/>
    <w:rsid w:val="00853891"/>
    <w:rsid w:val="0085579B"/>
    <w:rsid w:val="008558C1"/>
    <w:rsid w:val="00855AA8"/>
    <w:rsid w:val="00855AE3"/>
    <w:rsid w:val="00856A17"/>
    <w:rsid w:val="00856E09"/>
    <w:rsid w:val="00856FBB"/>
    <w:rsid w:val="0086096C"/>
    <w:rsid w:val="00861F49"/>
    <w:rsid w:val="00863774"/>
    <w:rsid w:val="0086400F"/>
    <w:rsid w:val="00865950"/>
    <w:rsid w:val="00865D59"/>
    <w:rsid w:val="00867AD5"/>
    <w:rsid w:val="008725B6"/>
    <w:rsid w:val="00873706"/>
    <w:rsid w:val="0087459C"/>
    <w:rsid w:val="0087485A"/>
    <w:rsid w:val="008763D7"/>
    <w:rsid w:val="0088004E"/>
    <w:rsid w:val="00881BCD"/>
    <w:rsid w:val="00882B3A"/>
    <w:rsid w:val="00883CBC"/>
    <w:rsid w:val="00887A94"/>
    <w:rsid w:val="00890A2C"/>
    <w:rsid w:val="00892AB0"/>
    <w:rsid w:val="00896123"/>
    <w:rsid w:val="008A12FB"/>
    <w:rsid w:val="008A2771"/>
    <w:rsid w:val="008A379E"/>
    <w:rsid w:val="008A42FE"/>
    <w:rsid w:val="008A4E39"/>
    <w:rsid w:val="008A58D9"/>
    <w:rsid w:val="008A72A4"/>
    <w:rsid w:val="008A769D"/>
    <w:rsid w:val="008B143A"/>
    <w:rsid w:val="008B2292"/>
    <w:rsid w:val="008B385C"/>
    <w:rsid w:val="008B637B"/>
    <w:rsid w:val="008B69BF"/>
    <w:rsid w:val="008B6C09"/>
    <w:rsid w:val="008B6C94"/>
    <w:rsid w:val="008C25BC"/>
    <w:rsid w:val="008C3228"/>
    <w:rsid w:val="008C33A8"/>
    <w:rsid w:val="008C4D05"/>
    <w:rsid w:val="008C778D"/>
    <w:rsid w:val="008C7E76"/>
    <w:rsid w:val="008D0EEE"/>
    <w:rsid w:val="008D232A"/>
    <w:rsid w:val="008D335E"/>
    <w:rsid w:val="008D4472"/>
    <w:rsid w:val="008D4A03"/>
    <w:rsid w:val="008D74A9"/>
    <w:rsid w:val="008D7564"/>
    <w:rsid w:val="008D7BDD"/>
    <w:rsid w:val="008E0414"/>
    <w:rsid w:val="008E0876"/>
    <w:rsid w:val="008E09EB"/>
    <w:rsid w:val="008E0A00"/>
    <w:rsid w:val="008E1339"/>
    <w:rsid w:val="008E15DB"/>
    <w:rsid w:val="008E318B"/>
    <w:rsid w:val="008E3964"/>
    <w:rsid w:val="008E4FBA"/>
    <w:rsid w:val="008E5867"/>
    <w:rsid w:val="008E5F35"/>
    <w:rsid w:val="008E5FC8"/>
    <w:rsid w:val="008F00F7"/>
    <w:rsid w:val="008F07EF"/>
    <w:rsid w:val="008F0969"/>
    <w:rsid w:val="008F3069"/>
    <w:rsid w:val="008F48D5"/>
    <w:rsid w:val="008F5B64"/>
    <w:rsid w:val="008F777A"/>
    <w:rsid w:val="00901923"/>
    <w:rsid w:val="009029FA"/>
    <w:rsid w:val="009031D9"/>
    <w:rsid w:val="00903A49"/>
    <w:rsid w:val="00903D79"/>
    <w:rsid w:val="00907F92"/>
    <w:rsid w:val="00912165"/>
    <w:rsid w:val="009178BC"/>
    <w:rsid w:val="009202DD"/>
    <w:rsid w:val="00920EA9"/>
    <w:rsid w:val="0092310E"/>
    <w:rsid w:val="00923E72"/>
    <w:rsid w:val="00924507"/>
    <w:rsid w:val="00924D8A"/>
    <w:rsid w:val="00926647"/>
    <w:rsid w:val="00926BF7"/>
    <w:rsid w:val="0092731F"/>
    <w:rsid w:val="00927DCE"/>
    <w:rsid w:val="009324DB"/>
    <w:rsid w:val="00932868"/>
    <w:rsid w:val="009328A8"/>
    <w:rsid w:val="009331F2"/>
    <w:rsid w:val="0093335E"/>
    <w:rsid w:val="00933B66"/>
    <w:rsid w:val="00933D1B"/>
    <w:rsid w:val="00933E7F"/>
    <w:rsid w:val="009354B1"/>
    <w:rsid w:val="00935718"/>
    <w:rsid w:val="00935A20"/>
    <w:rsid w:val="009374EA"/>
    <w:rsid w:val="009401F0"/>
    <w:rsid w:val="00940C4D"/>
    <w:rsid w:val="00941E12"/>
    <w:rsid w:val="00943107"/>
    <w:rsid w:val="00945A1E"/>
    <w:rsid w:val="0094643F"/>
    <w:rsid w:val="009473D0"/>
    <w:rsid w:val="00950B9E"/>
    <w:rsid w:val="00953CC0"/>
    <w:rsid w:val="009552E0"/>
    <w:rsid w:val="0095650D"/>
    <w:rsid w:val="009576B4"/>
    <w:rsid w:val="00960CEB"/>
    <w:rsid w:val="00960D5C"/>
    <w:rsid w:val="00960FF7"/>
    <w:rsid w:val="009619EA"/>
    <w:rsid w:val="00962D02"/>
    <w:rsid w:val="00963087"/>
    <w:rsid w:val="00966D31"/>
    <w:rsid w:val="009700B8"/>
    <w:rsid w:val="009701D2"/>
    <w:rsid w:val="0097104C"/>
    <w:rsid w:val="009743DE"/>
    <w:rsid w:val="009764F3"/>
    <w:rsid w:val="009779C3"/>
    <w:rsid w:val="00981B72"/>
    <w:rsid w:val="00981D71"/>
    <w:rsid w:val="00983628"/>
    <w:rsid w:val="00986B8F"/>
    <w:rsid w:val="009872EC"/>
    <w:rsid w:val="00990159"/>
    <w:rsid w:val="00995A6B"/>
    <w:rsid w:val="009A1C65"/>
    <w:rsid w:val="009A2E29"/>
    <w:rsid w:val="009A32FD"/>
    <w:rsid w:val="009A40C2"/>
    <w:rsid w:val="009A5750"/>
    <w:rsid w:val="009A69AC"/>
    <w:rsid w:val="009A7679"/>
    <w:rsid w:val="009A7BD8"/>
    <w:rsid w:val="009B0290"/>
    <w:rsid w:val="009B0463"/>
    <w:rsid w:val="009B1A09"/>
    <w:rsid w:val="009B43DA"/>
    <w:rsid w:val="009B57E8"/>
    <w:rsid w:val="009B6399"/>
    <w:rsid w:val="009B6D84"/>
    <w:rsid w:val="009B775E"/>
    <w:rsid w:val="009B7DC8"/>
    <w:rsid w:val="009C0412"/>
    <w:rsid w:val="009C0601"/>
    <w:rsid w:val="009C335E"/>
    <w:rsid w:val="009C4568"/>
    <w:rsid w:val="009C66A9"/>
    <w:rsid w:val="009C7328"/>
    <w:rsid w:val="009D00C0"/>
    <w:rsid w:val="009D2EC4"/>
    <w:rsid w:val="009D3168"/>
    <w:rsid w:val="009D545F"/>
    <w:rsid w:val="009E0E1E"/>
    <w:rsid w:val="009E0FAD"/>
    <w:rsid w:val="009E2E96"/>
    <w:rsid w:val="009E705F"/>
    <w:rsid w:val="009E79C0"/>
    <w:rsid w:val="009F1045"/>
    <w:rsid w:val="009F3B70"/>
    <w:rsid w:val="009F3BF7"/>
    <w:rsid w:val="009F5896"/>
    <w:rsid w:val="009F6F60"/>
    <w:rsid w:val="009F7FC4"/>
    <w:rsid w:val="00A01D49"/>
    <w:rsid w:val="00A03B11"/>
    <w:rsid w:val="00A052FC"/>
    <w:rsid w:val="00A062D5"/>
    <w:rsid w:val="00A10357"/>
    <w:rsid w:val="00A116FD"/>
    <w:rsid w:val="00A11E4A"/>
    <w:rsid w:val="00A1255F"/>
    <w:rsid w:val="00A12963"/>
    <w:rsid w:val="00A13799"/>
    <w:rsid w:val="00A141E4"/>
    <w:rsid w:val="00A14632"/>
    <w:rsid w:val="00A14F95"/>
    <w:rsid w:val="00A15A16"/>
    <w:rsid w:val="00A16B6B"/>
    <w:rsid w:val="00A176AC"/>
    <w:rsid w:val="00A201E5"/>
    <w:rsid w:val="00A209C1"/>
    <w:rsid w:val="00A237DB"/>
    <w:rsid w:val="00A24AA7"/>
    <w:rsid w:val="00A25A04"/>
    <w:rsid w:val="00A26A6D"/>
    <w:rsid w:val="00A27BD4"/>
    <w:rsid w:val="00A35543"/>
    <w:rsid w:val="00A363A0"/>
    <w:rsid w:val="00A406E0"/>
    <w:rsid w:val="00A412A7"/>
    <w:rsid w:val="00A4184D"/>
    <w:rsid w:val="00A44A87"/>
    <w:rsid w:val="00A44DBD"/>
    <w:rsid w:val="00A4544B"/>
    <w:rsid w:val="00A45907"/>
    <w:rsid w:val="00A45D06"/>
    <w:rsid w:val="00A46414"/>
    <w:rsid w:val="00A4643D"/>
    <w:rsid w:val="00A466FD"/>
    <w:rsid w:val="00A47B63"/>
    <w:rsid w:val="00A535B7"/>
    <w:rsid w:val="00A5424B"/>
    <w:rsid w:val="00A571B1"/>
    <w:rsid w:val="00A5722D"/>
    <w:rsid w:val="00A57A34"/>
    <w:rsid w:val="00A57CAE"/>
    <w:rsid w:val="00A62F87"/>
    <w:rsid w:val="00A65C22"/>
    <w:rsid w:val="00A6622F"/>
    <w:rsid w:val="00A670E8"/>
    <w:rsid w:val="00A70869"/>
    <w:rsid w:val="00A71FD0"/>
    <w:rsid w:val="00A72B56"/>
    <w:rsid w:val="00A758ED"/>
    <w:rsid w:val="00A77602"/>
    <w:rsid w:val="00A82227"/>
    <w:rsid w:val="00A82410"/>
    <w:rsid w:val="00A834F8"/>
    <w:rsid w:val="00A84875"/>
    <w:rsid w:val="00A8545C"/>
    <w:rsid w:val="00A86C90"/>
    <w:rsid w:val="00A87534"/>
    <w:rsid w:val="00A906D7"/>
    <w:rsid w:val="00A917F3"/>
    <w:rsid w:val="00A94985"/>
    <w:rsid w:val="00A95907"/>
    <w:rsid w:val="00A96CF2"/>
    <w:rsid w:val="00AA0160"/>
    <w:rsid w:val="00AA0A32"/>
    <w:rsid w:val="00AA1868"/>
    <w:rsid w:val="00AA378A"/>
    <w:rsid w:val="00AA3C24"/>
    <w:rsid w:val="00AA42E6"/>
    <w:rsid w:val="00AA4693"/>
    <w:rsid w:val="00AA73C3"/>
    <w:rsid w:val="00AB0BFF"/>
    <w:rsid w:val="00AB350B"/>
    <w:rsid w:val="00AB4968"/>
    <w:rsid w:val="00AB4D17"/>
    <w:rsid w:val="00AC0707"/>
    <w:rsid w:val="00AC0AFB"/>
    <w:rsid w:val="00AC1295"/>
    <w:rsid w:val="00AC2A31"/>
    <w:rsid w:val="00AC30C8"/>
    <w:rsid w:val="00AC3259"/>
    <w:rsid w:val="00AC4397"/>
    <w:rsid w:val="00AC699F"/>
    <w:rsid w:val="00AC6AC3"/>
    <w:rsid w:val="00AC7760"/>
    <w:rsid w:val="00AC7DC5"/>
    <w:rsid w:val="00AD0DD5"/>
    <w:rsid w:val="00AD35E5"/>
    <w:rsid w:val="00AD439E"/>
    <w:rsid w:val="00AD5774"/>
    <w:rsid w:val="00AD7317"/>
    <w:rsid w:val="00AE2730"/>
    <w:rsid w:val="00AE27BB"/>
    <w:rsid w:val="00AE28E3"/>
    <w:rsid w:val="00AE2BD3"/>
    <w:rsid w:val="00AE3B94"/>
    <w:rsid w:val="00AE5EA0"/>
    <w:rsid w:val="00AE60D6"/>
    <w:rsid w:val="00AE77F8"/>
    <w:rsid w:val="00AF084F"/>
    <w:rsid w:val="00AF09DE"/>
    <w:rsid w:val="00AF4BF0"/>
    <w:rsid w:val="00AF73A9"/>
    <w:rsid w:val="00B00541"/>
    <w:rsid w:val="00B016DD"/>
    <w:rsid w:val="00B037DC"/>
    <w:rsid w:val="00B058D3"/>
    <w:rsid w:val="00B05ED8"/>
    <w:rsid w:val="00B0606D"/>
    <w:rsid w:val="00B11F72"/>
    <w:rsid w:val="00B13D74"/>
    <w:rsid w:val="00B14894"/>
    <w:rsid w:val="00B15F9D"/>
    <w:rsid w:val="00B1770E"/>
    <w:rsid w:val="00B22E07"/>
    <w:rsid w:val="00B25416"/>
    <w:rsid w:val="00B273E8"/>
    <w:rsid w:val="00B307EE"/>
    <w:rsid w:val="00B325A4"/>
    <w:rsid w:val="00B33B79"/>
    <w:rsid w:val="00B341CA"/>
    <w:rsid w:val="00B34602"/>
    <w:rsid w:val="00B349DC"/>
    <w:rsid w:val="00B37A18"/>
    <w:rsid w:val="00B43A8F"/>
    <w:rsid w:val="00B4573E"/>
    <w:rsid w:val="00B4695E"/>
    <w:rsid w:val="00B5079F"/>
    <w:rsid w:val="00B53E83"/>
    <w:rsid w:val="00B53FC1"/>
    <w:rsid w:val="00B546F6"/>
    <w:rsid w:val="00B55D89"/>
    <w:rsid w:val="00B5762E"/>
    <w:rsid w:val="00B57D8F"/>
    <w:rsid w:val="00B60057"/>
    <w:rsid w:val="00B618F8"/>
    <w:rsid w:val="00B61A14"/>
    <w:rsid w:val="00B624F0"/>
    <w:rsid w:val="00B6337B"/>
    <w:rsid w:val="00B63583"/>
    <w:rsid w:val="00B64215"/>
    <w:rsid w:val="00B64347"/>
    <w:rsid w:val="00B64F3F"/>
    <w:rsid w:val="00B64FAE"/>
    <w:rsid w:val="00B657ED"/>
    <w:rsid w:val="00B66FD5"/>
    <w:rsid w:val="00B70A89"/>
    <w:rsid w:val="00B70B3E"/>
    <w:rsid w:val="00B70C1A"/>
    <w:rsid w:val="00B70F2A"/>
    <w:rsid w:val="00B71493"/>
    <w:rsid w:val="00B71499"/>
    <w:rsid w:val="00B72AB4"/>
    <w:rsid w:val="00B74550"/>
    <w:rsid w:val="00B74A20"/>
    <w:rsid w:val="00B7549B"/>
    <w:rsid w:val="00B76DE1"/>
    <w:rsid w:val="00B8058E"/>
    <w:rsid w:val="00B82FA7"/>
    <w:rsid w:val="00B84389"/>
    <w:rsid w:val="00B84C4A"/>
    <w:rsid w:val="00B85543"/>
    <w:rsid w:val="00B90D08"/>
    <w:rsid w:val="00B92CE9"/>
    <w:rsid w:val="00B9366A"/>
    <w:rsid w:val="00B93F1C"/>
    <w:rsid w:val="00B93FC6"/>
    <w:rsid w:val="00B944E7"/>
    <w:rsid w:val="00B96573"/>
    <w:rsid w:val="00B96659"/>
    <w:rsid w:val="00B970C1"/>
    <w:rsid w:val="00B974F6"/>
    <w:rsid w:val="00BA0003"/>
    <w:rsid w:val="00BA211C"/>
    <w:rsid w:val="00BA3044"/>
    <w:rsid w:val="00BA3323"/>
    <w:rsid w:val="00BA4A41"/>
    <w:rsid w:val="00BA5D5A"/>
    <w:rsid w:val="00BB2739"/>
    <w:rsid w:val="00BB3041"/>
    <w:rsid w:val="00BB3B15"/>
    <w:rsid w:val="00BB400C"/>
    <w:rsid w:val="00BB4154"/>
    <w:rsid w:val="00BB561B"/>
    <w:rsid w:val="00BB5880"/>
    <w:rsid w:val="00BB5F8E"/>
    <w:rsid w:val="00BB62E9"/>
    <w:rsid w:val="00BB6BDA"/>
    <w:rsid w:val="00BB7087"/>
    <w:rsid w:val="00BC0A1C"/>
    <w:rsid w:val="00BC2C6A"/>
    <w:rsid w:val="00BC3E84"/>
    <w:rsid w:val="00BC634A"/>
    <w:rsid w:val="00BC63C9"/>
    <w:rsid w:val="00BC7AB2"/>
    <w:rsid w:val="00BD0A3B"/>
    <w:rsid w:val="00BD1669"/>
    <w:rsid w:val="00BD3DDC"/>
    <w:rsid w:val="00BD41F1"/>
    <w:rsid w:val="00BD4551"/>
    <w:rsid w:val="00BD68CF"/>
    <w:rsid w:val="00BD6C37"/>
    <w:rsid w:val="00BD74F5"/>
    <w:rsid w:val="00BD770B"/>
    <w:rsid w:val="00BD77B7"/>
    <w:rsid w:val="00BD7A41"/>
    <w:rsid w:val="00BE08FC"/>
    <w:rsid w:val="00BE3AD4"/>
    <w:rsid w:val="00BF0941"/>
    <w:rsid w:val="00BF151B"/>
    <w:rsid w:val="00BF1CD9"/>
    <w:rsid w:val="00BF55A3"/>
    <w:rsid w:val="00BF684C"/>
    <w:rsid w:val="00C02A95"/>
    <w:rsid w:val="00C03CD0"/>
    <w:rsid w:val="00C03E50"/>
    <w:rsid w:val="00C04D07"/>
    <w:rsid w:val="00C0532E"/>
    <w:rsid w:val="00C07614"/>
    <w:rsid w:val="00C07790"/>
    <w:rsid w:val="00C1168C"/>
    <w:rsid w:val="00C12259"/>
    <w:rsid w:val="00C13976"/>
    <w:rsid w:val="00C13F6D"/>
    <w:rsid w:val="00C1502D"/>
    <w:rsid w:val="00C205A8"/>
    <w:rsid w:val="00C20CDD"/>
    <w:rsid w:val="00C2170D"/>
    <w:rsid w:val="00C25A01"/>
    <w:rsid w:val="00C26A5E"/>
    <w:rsid w:val="00C27A03"/>
    <w:rsid w:val="00C30600"/>
    <w:rsid w:val="00C31B2E"/>
    <w:rsid w:val="00C3555D"/>
    <w:rsid w:val="00C36C92"/>
    <w:rsid w:val="00C36E0E"/>
    <w:rsid w:val="00C37B68"/>
    <w:rsid w:val="00C40913"/>
    <w:rsid w:val="00C40E12"/>
    <w:rsid w:val="00C40E7E"/>
    <w:rsid w:val="00C4299D"/>
    <w:rsid w:val="00C44F93"/>
    <w:rsid w:val="00C46308"/>
    <w:rsid w:val="00C46744"/>
    <w:rsid w:val="00C4680F"/>
    <w:rsid w:val="00C475E0"/>
    <w:rsid w:val="00C47F03"/>
    <w:rsid w:val="00C47FFD"/>
    <w:rsid w:val="00C51BA9"/>
    <w:rsid w:val="00C56DE6"/>
    <w:rsid w:val="00C577B7"/>
    <w:rsid w:val="00C60712"/>
    <w:rsid w:val="00C63E3E"/>
    <w:rsid w:val="00C64A13"/>
    <w:rsid w:val="00C6774A"/>
    <w:rsid w:val="00C67A94"/>
    <w:rsid w:val="00C70422"/>
    <w:rsid w:val="00C7078C"/>
    <w:rsid w:val="00C71219"/>
    <w:rsid w:val="00C71A19"/>
    <w:rsid w:val="00C71A8C"/>
    <w:rsid w:val="00C76A76"/>
    <w:rsid w:val="00C778C0"/>
    <w:rsid w:val="00C77AB5"/>
    <w:rsid w:val="00C77ABE"/>
    <w:rsid w:val="00C8067E"/>
    <w:rsid w:val="00C813D8"/>
    <w:rsid w:val="00C82510"/>
    <w:rsid w:val="00C83FB4"/>
    <w:rsid w:val="00C852BA"/>
    <w:rsid w:val="00C853DC"/>
    <w:rsid w:val="00C86445"/>
    <w:rsid w:val="00C86E30"/>
    <w:rsid w:val="00C87914"/>
    <w:rsid w:val="00C9110B"/>
    <w:rsid w:val="00C91D15"/>
    <w:rsid w:val="00C927EA"/>
    <w:rsid w:val="00C92F3D"/>
    <w:rsid w:val="00C9416A"/>
    <w:rsid w:val="00C94434"/>
    <w:rsid w:val="00C95079"/>
    <w:rsid w:val="00C9553E"/>
    <w:rsid w:val="00C96E55"/>
    <w:rsid w:val="00C97660"/>
    <w:rsid w:val="00C979D2"/>
    <w:rsid w:val="00C97F2D"/>
    <w:rsid w:val="00CA0BD9"/>
    <w:rsid w:val="00CA1216"/>
    <w:rsid w:val="00CA1A83"/>
    <w:rsid w:val="00CA31DF"/>
    <w:rsid w:val="00CA3C4E"/>
    <w:rsid w:val="00CA47F2"/>
    <w:rsid w:val="00CA4E85"/>
    <w:rsid w:val="00CA5146"/>
    <w:rsid w:val="00CA52B0"/>
    <w:rsid w:val="00CA54AD"/>
    <w:rsid w:val="00CA570E"/>
    <w:rsid w:val="00CA777F"/>
    <w:rsid w:val="00CB0165"/>
    <w:rsid w:val="00CB0F81"/>
    <w:rsid w:val="00CB14D5"/>
    <w:rsid w:val="00CB4D8F"/>
    <w:rsid w:val="00CB5A22"/>
    <w:rsid w:val="00CB5FC3"/>
    <w:rsid w:val="00CB62A2"/>
    <w:rsid w:val="00CC268A"/>
    <w:rsid w:val="00CC318C"/>
    <w:rsid w:val="00CC521D"/>
    <w:rsid w:val="00CC53D0"/>
    <w:rsid w:val="00CC75A4"/>
    <w:rsid w:val="00CD0078"/>
    <w:rsid w:val="00CD1D73"/>
    <w:rsid w:val="00CD3DD4"/>
    <w:rsid w:val="00CD44D4"/>
    <w:rsid w:val="00CD47FC"/>
    <w:rsid w:val="00CD564A"/>
    <w:rsid w:val="00CD6BE7"/>
    <w:rsid w:val="00CE0646"/>
    <w:rsid w:val="00CE2918"/>
    <w:rsid w:val="00CE2AEC"/>
    <w:rsid w:val="00CE4790"/>
    <w:rsid w:val="00CE5AC9"/>
    <w:rsid w:val="00CE6D43"/>
    <w:rsid w:val="00CF1567"/>
    <w:rsid w:val="00CF17B0"/>
    <w:rsid w:val="00CF3516"/>
    <w:rsid w:val="00CF3B9D"/>
    <w:rsid w:val="00CF3DD7"/>
    <w:rsid w:val="00CF447D"/>
    <w:rsid w:val="00CF6A59"/>
    <w:rsid w:val="00CF6EE0"/>
    <w:rsid w:val="00CF7A81"/>
    <w:rsid w:val="00D008D8"/>
    <w:rsid w:val="00D00CF2"/>
    <w:rsid w:val="00D011F3"/>
    <w:rsid w:val="00D01BA3"/>
    <w:rsid w:val="00D030C9"/>
    <w:rsid w:val="00D057E7"/>
    <w:rsid w:val="00D05962"/>
    <w:rsid w:val="00D0606B"/>
    <w:rsid w:val="00D0705F"/>
    <w:rsid w:val="00D076B3"/>
    <w:rsid w:val="00D07E1D"/>
    <w:rsid w:val="00D11B0B"/>
    <w:rsid w:val="00D14EC8"/>
    <w:rsid w:val="00D20217"/>
    <w:rsid w:val="00D20435"/>
    <w:rsid w:val="00D21976"/>
    <w:rsid w:val="00D2214C"/>
    <w:rsid w:val="00D2392B"/>
    <w:rsid w:val="00D2432E"/>
    <w:rsid w:val="00D32BBE"/>
    <w:rsid w:val="00D33527"/>
    <w:rsid w:val="00D33C71"/>
    <w:rsid w:val="00D34C3B"/>
    <w:rsid w:val="00D36BFC"/>
    <w:rsid w:val="00D37D98"/>
    <w:rsid w:val="00D409DE"/>
    <w:rsid w:val="00D40DEC"/>
    <w:rsid w:val="00D4299C"/>
    <w:rsid w:val="00D42CE3"/>
    <w:rsid w:val="00D4349A"/>
    <w:rsid w:val="00D43EBF"/>
    <w:rsid w:val="00D443B0"/>
    <w:rsid w:val="00D45BA5"/>
    <w:rsid w:val="00D46528"/>
    <w:rsid w:val="00D46FC6"/>
    <w:rsid w:val="00D5037B"/>
    <w:rsid w:val="00D50507"/>
    <w:rsid w:val="00D54856"/>
    <w:rsid w:val="00D558B9"/>
    <w:rsid w:val="00D57EF7"/>
    <w:rsid w:val="00D60BF3"/>
    <w:rsid w:val="00D62C53"/>
    <w:rsid w:val="00D63B5C"/>
    <w:rsid w:val="00D63CC1"/>
    <w:rsid w:val="00D64C0C"/>
    <w:rsid w:val="00D66087"/>
    <w:rsid w:val="00D66505"/>
    <w:rsid w:val="00D706CC"/>
    <w:rsid w:val="00D70A4F"/>
    <w:rsid w:val="00D716D8"/>
    <w:rsid w:val="00D72604"/>
    <w:rsid w:val="00D730F4"/>
    <w:rsid w:val="00D73242"/>
    <w:rsid w:val="00D73FDB"/>
    <w:rsid w:val="00D7480F"/>
    <w:rsid w:val="00D74C5E"/>
    <w:rsid w:val="00D75BF6"/>
    <w:rsid w:val="00D76CA5"/>
    <w:rsid w:val="00D774C1"/>
    <w:rsid w:val="00D77716"/>
    <w:rsid w:val="00D8042E"/>
    <w:rsid w:val="00D80EE5"/>
    <w:rsid w:val="00D81285"/>
    <w:rsid w:val="00D833F1"/>
    <w:rsid w:val="00D86F78"/>
    <w:rsid w:val="00D91457"/>
    <w:rsid w:val="00D91AC2"/>
    <w:rsid w:val="00D935F6"/>
    <w:rsid w:val="00D950C3"/>
    <w:rsid w:val="00D9552F"/>
    <w:rsid w:val="00D95969"/>
    <w:rsid w:val="00D970F2"/>
    <w:rsid w:val="00D97F94"/>
    <w:rsid w:val="00DA25A9"/>
    <w:rsid w:val="00DA42EA"/>
    <w:rsid w:val="00DB1641"/>
    <w:rsid w:val="00DB2C3C"/>
    <w:rsid w:val="00DB4062"/>
    <w:rsid w:val="00DB561C"/>
    <w:rsid w:val="00DB6F5D"/>
    <w:rsid w:val="00DC0FBA"/>
    <w:rsid w:val="00DC101C"/>
    <w:rsid w:val="00DC124E"/>
    <w:rsid w:val="00DC255C"/>
    <w:rsid w:val="00DC2C8F"/>
    <w:rsid w:val="00DC3278"/>
    <w:rsid w:val="00DC353B"/>
    <w:rsid w:val="00DC4681"/>
    <w:rsid w:val="00DC4A95"/>
    <w:rsid w:val="00DC525D"/>
    <w:rsid w:val="00DC52F3"/>
    <w:rsid w:val="00DC5F82"/>
    <w:rsid w:val="00DC7C5A"/>
    <w:rsid w:val="00DD0400"/>
    <w:rsid w:val="00DD0CE0"/>
    <w:rsid w:val="00DD1B44"/>
    <w:rsid w:val="00DD1CA5"/>
    <w:rsid w:val="00DD1D3E"/>
    <w:rsid w:val="00DD350E"/>
    <w:rsid w:val="00DD3867"/>
    <w:rsid w:val="00DD5200"/>
    <w:rsid w:val="00DD65A6"/>
    <w:rsid w:val="00DD6C9B"/>
    <w:rsid w:val="00DE0C9F"/>
    <w:rsid w:val="00DE1360"/>
    <w:rsid w:val="00DE1765"/>
    <w:rsid w:val="00DE1D2C"/>
    <w:rsid w:val="00DE2F1E"/>
    <w:rsid w:val="00DE3571"/>
    <w:rsid w:val="00DE3DBA"/>
    <w:rsid w:val="00DE49EA"/>
    <w:rsid w:val="00DE4C10"/>
    <w:rsid w:val="00DE594C"/>
    <w:rsid w:val="00DE7E57"/>
    <w:rsid w:val="00DF21BE"/>
    <w:rsid w:val="00DF2F3A"/>
    <w:rsid w:val="00DF2F96"/>
    <w:rsid w:val="00DF3296"/>
    <w:rsid w:val="00DF6AA1"/>
    <w:rsid w:val="00DF7A6E"/>
    <w:rsid w:val="00DF7BCC"/>
    <w:rsid w:val="00E00BCA"/>
    <w:rsid w:val="00E011E8"/>
    <w:rsid w:val="00E01FB5"/>
    <w:rsid w:val="00E0305A"/>
    <w:rsid w:val="00E04227"/>
    <w:rsid w:val="00E04243"/>
    <w:rsid w:val="00E044C8"/>
    <w:rsid w:val="00E049F1"/>
    <w:rsid w:val="00E04DA1"/>
    <w:rsid w:val="00E0577E"/>
    <w:rsid w:val="00E06C0F"/>
    <w:rsid w:val="00E06D5D"/>
    <w:rsid w:val="00E06EE8"/>
    <w:rsid w:val="00E1001F"/>
    <w:rsid w:val="00E10721"/>
    <w:rsid w:val="00E1266E"/>
    <w:rsid w:val="00E13DD8"/>
    <w:rsid w:val="00E14105"/>
    <w:rsid w:val="00E14C6D"/>
    <w:rsid w:val="00E15240"/>
    <w:rsid w:val="00E16FC1"/>
    <w:rsid w:val="00E208A2"/>
    <w:rsid w:val="00E2353D"/>
    <w:rsid w:val="00E245CF"/>
    <w:rsid w:val="00E2475F"/>
    <w:rsid w:val="00E25BE2"/>
    <w:rsid w:val="00E27042"/>
    <w:rsid w:val="00E30BEF"/>
    <w:rsid w:val="00E3266D"/>
    <w:rsid w:val="00E32EF6"/>
    <w:rsid w:val="00E3322A"/>
    <w:rsid w:val="00E34EA4"/>
    <w:rsid w:val="00E3561C"/>
    <w:rsid w:val="00E375C6"/>
    <w:rsid w:val="00E37E04"/>
    <w:rsid w:val="00E40B1F"/>
    <w:rsid w:val="00E43492"/>
    <w:rsid w:val="00E44088"/>
    <w:rsid w:val="00E444FC"/>
    <w:rsid w:val="00E463A6"/>
    <w:rsid w:val="00E47696"/>
    <w:rsid w:val="00E47A6C"/>
    <w:rsid w:val="00E47EED"/>
    <w:rsid w:val="00E50A36"/>
    <w:rsid w:val="00E51079"/>
    <w:rsid w:val="00E51450"/>
    <w:rsid w:val="00E53EEE"/>
    <w:rsid w:val="00E57A63"/>
    <w:rsid w:val="00E60174"/>
    <w:rsid w:val="00E60896"/>
    <w:rsid w:val="00E612D3"/>
    <w:rsid w:val="00E61498"/>
    <w:rsid w:val="00E61E6B"/>
    <w:rsid w:val="00E62F05"/>
    <w:rsid w:val="00E6316B"/>
    <w:rsid w:val="00E65269"/>
    <w:rsid w:val="00E657D6"/>
    <w:rsid w:val="00E66D89"/>
    <w:rsid w:val="00E67163"/>
    <w:rsid w:val="00E71571"/>
    <w:rsid w:val="00E72A53"/>
    <w:rsid w:val="00E73E93"/>
    <w:rsid w:val="00E74D1A"/>
    <w:rsid w:val="00E74EF7"/>
    <w:rsid w:val="00E75088"/>
    <w:rsid w:val="00E7713B"/>
    <w:rsid w:val="00E776F4"/>
    <w:rsid w:val="00E7770A"/>
    <w:rsid w:val="00E80179"/>
    <w:rsid w:val="00E83396"/>
    <w:rsid w:val="00E83C76"/>
    <w:rsid w:val="00E85365"/>
    <w:rsid w:val="00E85EE7"/>
    <w:rsid w:val="00E862A5"/>
    <w:rsid w:val="00E8637C"/>
    <w:rsid w:val="00E910AA"/>
    <w:rsid w:val="00E911DC"/>
    <w:rsid w:val="00E914BA"/>
    <w:rsid w:val="00E93674"/>
    <w:rsid w:val="00E93913"/>
    <w:rsid w:val="00E9458B"/>
    <w:rsid w:val="00E94877"/>
    <w:rsid w:val="00E95356"/>
    <w:rsid w:val="00E9639B"/>
    <w:rsid w:val="00E96AF9"/>
    <w:rsid w:val="00E97E10"/>
    <w:rsid w:val="00EA154E"/>
    <w:rsid w:val="00EA331B"/>
    <w:rsid w:val="00EA35D6"/>
    <w:rsid w:val="00EA4C5B"/>
    <w:rsid w:val="00EA4CA7"/>
    <w:rsid w:val="00EA5C74"/>
    <w:rsid w:val="00EA68A6"/>
    <w:rsid w:val="00EB1225"/>
    <w:rsid w:val="00EB218F"/>
    <w:rsid w:val="00EB2574"/>
    <w:rsid w:val="00EB2F0D"/>
    <w:rsid w:val="00EB3631"/>
    <w:rsid w:val="00EB3AF8"/>
    <w:rsid w:val="00EB3F01"/>
    <w:rsid w:val="00EB5E06"/>
    <w:rsid w:val="00EB5F49"/>
    <w:rsid w:val="00EB7241"/>
    <w:rsid w:val="00EB77F6"/>
    <w:rsid w:val="00EB7CBB"/>
    <w:rsid w:val="00EC2659"/>
    <w:rsid w:val="00EC48D9"/>
    <w:rsid w:val="00EC5029"/>
    <w:rsid w:val="00EC67D6"/>
    <w:rsid w:val="00ED0664"/>
    <w:rsid w:val="00ED17A7"/>
    <w:rsid w:val="00ED38F3"/>
    <w:rsid w:val="00ED44C9"/>
    <w:rsid w:val="00ED5564"/>
    <w:rsid w:val="00ED5BF5"/>
    <w:rsid w:val="00ED7283"/>
    <w:rsid w:val="00ED7FFB"/>
    <w:rsid w:val="00EE0E28"/>
    <w:rsid w:val="00EE16F8"/>
    <w:rsid w:val="00EE1F9F"/>
    <w:rsid w:val="00EE2634"/>
    <w:rsid w:val="00EE2CA5"/>
    <w:rsid w:val="00EE2FA9"/>
    <w:rsid w:val="00EE3125"/>
    <w:rsid w:val="00EE3913"/>
    <w:rsid w:val="00EE395E"/>
    <w:rsid w:val="00EE550D"/>
    <w:rsid w:val="00EE6266"/>
    <w:rsid w:val="00EE62DA"/>
    <w:rsid w:val="00EF1B87"/>
    <w:rsid w:val="00EF2F56"/>
    <w:rsid w:val="00EF5F42"/>
    <w:rsid w:val="00EF60FD"/>
    <w:rsid w:val="00EF64CD"/>
    <w:rsid w:val="00EF7E10"/>
    <w:rsid w:val="00F03037"/>
    <w:rsid w:val="00F04A60"/>
    <w:rsid w:val="00F0513C"/>
    <w:rsid w:val="00F10016"/>
    <w:rsid w:val="00F107F8"/>
    <w:rsid w:val="00F116FF"/>
    <w:rsid w:val="00F12CC0"/>
    <w:rsid w:val="00F13564"/>
    <w:rsid w:val="00F15D22"/>
    <w:rsid w:val="00F205F8"/>
    <w:rsid w:val="00F2090B"/>
    <w:rsid w:val="00F22686"/>
    <w:rsid w:val="00F23C23"/>
    <w:rsid w:val="00F23DE7"/>
    <w:rsid w:val="00F258D1"/>
    <w:rsid w:val="00F25F1F"/>
    <w:rsid w:val="00F31255"/>
    <w:rsid w:val="00F3299C"/>
    <w:rsid w:val="00F342D9"/>
    <w:rsid w:val="00F3568E"/>
    <w:rsid w:val="00F37326"/>
    <w:rsid w:val="00F4090C"/>
    <w:rsid w:val="00F40914"/>
    <w:rsid w:val="00F413DF"/>
    <w:rsid w:val="00F423E6"/>
    <w:rsid w:val="00F4388B"/>
    <w:rsid w:val="00F4449F"/>
    <w:rsid w:val="00F4497B"/>
    <w:rsid w:val="00F44CA1"/>
    <w:rsid w:val="00F452DA"/>
    <w:rsid w:val="00F458EC"/>
    <w:rsid w:val="00F47861"/>
    <w:rsid w:val="00F5030C"/>
    <w:rsid w:val="00F51329"/>
    <w:rsid w:val="00F52854"/>
    <w:rsid w:val="00F52C98"/>
    <w:rsid w:val="00F52F9A"/>
    <w:rsid w:val="00F53288"/>
    <w:rsid w:val="00F53E2A"/>
    <w:rsid w:val="00F53E77"/>
    <w:rsid w:val="00F5445A"/>
    <w:rsid w:val="00F600FC"/>
    <w:rsid w:val="00F62393"/>
    <w:rsid w:val="00F628AD"/>
    <w:rsid w:val="00F65605"/>
    <w:rsid w:val="00F67011"/>
    <w:rsid w:val="00F675EA"/>
    <w:rsid w:val="00F67881"/>
    <w:rsid w:val="00F7047D"/>
    <w:rsid w:val="00F715DE"/>
    <w:rsid w:val="00F7542D"/>
    <w:rsid w:val="00F762D2"/>
    <w:rsid w:val="00F77D81"/>
    <w:rsid w:val="00F82583"/>
    <w:rsid w:val="00F85371"/>
    <w:rsid w:val="00F85D97"/>
    <w:rsid w:val="00F9007F"/>
    <w:rsid w:val="00F90965"/>
    <w:rsid w:val="00F90B88"/>
    <w:rsid w:val="00F947C3"/>
    <w:rsid w:val="00F94E8C"/>
    <w:rsid w:val="00F95615"/>
    <w:rsid w:val="00F966AA"/>
    <w:rsid w:val="00FA034F"/>
    <w:rsid w:val="00FA0EA1"/>
    <w:rsid w:val="00FA438B"/>
    <w:rsid w:val="00FA4F7B"/>
    <w:rsid w:val="00FA53F6"/>
    <w:rsid w:val="00FA65CA"/>
    <w:rsid w:val="00FA6E46"/>
    <w:rsid w:val="00FB0B2E"/>
    <w:rsid w:val="00FB6286"/>
    <w:rsid w:val="00FC07CF"/>
    <w:rsid w:val="00FC2005"/>
    <w:rsid w:val="00FC35EE"/>
    <w:rsid w:val="00FC6189"/>
    <w:rsid w:val="00FC6BED"/>
    <w:rsid w:val="00FC6C93"/>
    <w:rsid w:val="00FD5838"/>
    <w:rsid w:val="00FD6390"/>
    <w:rsid w:val="00FD70C6"/>
    <w:rsid w:val="00FE0747"/>
    <w:rsid w:val="00FE25A1"/>
    <w:rsid w:val="00FE2EC1"/>
    <w:rsid w:val="00FE70E5"/>
    <w:rsid w:val="00FE762E"/>
    <w:rsid w:val="00FF38D3"/>
    <w:rsid w:val="00FF4D4C"/>
    <w:rsid w:val="00FF5282"/>
    <w:rsid w:val="0AF8EF20"/>
    <w:rsid w:val="0E27F0E7"/>
    <w:rsid w:val="16FBECEF"/>
    <w:rsid w:val="209C96C8"/>
    <w:rsid w:val="24981201"/>
    <w:rsid w:val="25ED13C9"/>
    <w:rsid w:val="26C04BB3"/>
    <w:rsid w:val="2CA7C510"/>
    <w:rsid w:val="31C84DF2"/>
    <w:rsid w:val="33B28C24"/>
    <w:rsid w:val="33F668F5"/>
    <w:rsid w:val="3766A6B7"/>
    <w:rsid w:val="3F806670"/>
    <w:rsid w:val="4002FC63"/>
    <w:rsid w:val="40C75461"/>
    <w:rsid w:val="4E9968A4"/>
    <w:rsid w:val="55FCBF84"/>
    <w:rsid w:val="64599C25"/>
    <w:rsid w:val="67804EE8"/>
    <w:rsid w:val="6B3824FD"/>
    <w:rsid w:val="74515DB9"/>
    <w:rsid w:val="74D02BAE"/>
    <w:rsid w:val="75D441E0"/>
    <w:rsid w:val="7881D3FE"/>
    <w:rsid w:val="7D25DC5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5:docId w15:val="{8FEBA92F-988A-4897-9C2A-289703F4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F56"/>
    <w:rPr>
      <w:rFonts w:ascii="Times New Roman" w:eastAsia="Times New Roman" w:hAnsi="Times New Roman" w:cs="Times New Roman"/>
    </w:rPr>
  </w:style>
  <w:style w:type="paragraph" w:styleId="Heading1">
    <w:name w:val="heading 1"/>
    <w:basedOn w:val="Normal"/>
    <w:next w:val="Normal"/>
    <w:link w:val="Heading1Char"/>
    <w:qFormat/>
    <w:rsid w:val="00E914BA"/>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E914BA"/>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14BA"/>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914B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914B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914B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14B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14B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14B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86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914B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E914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914B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914B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E914B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914B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914B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914B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914BA"/>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E914BA"/>
    <w:pPr>
      <w:ind w:left="720"/>
      <w:contextualSpacing/>
    </w:pPr>
  </w:style>
  <w:style w:type="paragraph" w:customStyle="1" w:styleId="body-lead1">
    <w:name w:val="body-lead1"/>
    <w:basedOn w:val="Normal"/>
    <w:link w:val="body-lead1Char"/>
    <w:rsid w:val="00286765"/>
    <w:pPr>
      <w:spacing w:before="120" w:after="120"/>
    </w:pPr>
    <w:rPr>
      <w:rFonts w:ascii="Arial" w:hAnsi="Arial" w:cs="Arial"/>
      <w:b/>
      <w:bCs/>
      <w:i/>
      <w:iCs/>
      <w:color w:val="000080"/>
      <w:sz w:val="22"/>
      <w:szCs w:val="22"/>
    </w:rPr>
  </w:style>
  <w:style w:type="character" w:customStyle="1" w:styleId="body-lead1Char">
    <w:name w:val="body-lead1 Char"/>
    <w:basedOn w:val="DefaultParagraphFont"/>
    <w:link w:val="body-lead1"/>
    <w:rsid w:val="00286765"/>
    <w:rPr>
      <w:rFonts w:ascii="Arial" w:eastAsia="Times New Roman" w:hAnsi="Arial" w:cs="Arial"/>
      <w:b/>
      <w:bCs/>
      <w:i/>
      <w:iCs/>
      <w:color w:val="000080"/>
      <w:sz w:val="22"/>
      <w:szCs w:val="22"/>
    </w:rPr>
  </w:style>
  <w:style w:type="paragraph" w:customStyle="1" w:styleId="body-text">
    <w:name w:val="body-text"/>
    <w:basedOn w:val="Normal"/>
    <w:link w:val="body-textChar"/>
    <w:rsid w:val="00286765"/>
    <w:pPr>
      <w:spacing w:before="120" w:after="120"/>
    </w:pPr>
    <w:rPr>
      <w:rFonts w:ascii="Arial" w:hAnsi="Arial" w:cs="Arial"/>
      <w:sz w:val="20"/>
      <w:szCs w:val="20"/>
    </w:rPr>
  </w:style>
  <w:style w:type="character" w:customStyle="1" w:styleId="body-textChar">
    <w:name w:val="body-text Char"/>
    <w:basedOn w:val="DefaultParagraphFont"/>
    <w:link w:val="body-text"/>
    <w:rsid w:val="00286765"/>
    <w:rPr>
      <w:rFonts w:ascii="Arial" w:eastAsia="Times New Roman" w:hAnsi="Arial" w:cs="Arial"/>
      <w:sz w:val="20"/>
      <w:szCs w:val="20"/>
    </w:rPr>
  </w:style>
  <w:style w:type="paragraph" w:customStyle="1" w:styleId="List1">
    <w:name w:val="List1"/>
    <w:basedOn w:val="Normal"/>
    <w:link w:val="listChar"/>
    <w:rsid w:val="00286765"/>
    <w:pPr>
      <w:spacing w:before="120" w:after="120"/>
    </w:pPr>
    <w:rPr>
      <w:rFonts w:ascii="Arial" w:hAnsi="Arial" w:cs="Arial"/>
      <w:sz w:val="20"/>
      <w:szCs w:val="20"/>
    </w:rPr>
  </w:style>
  <w:style w:type="character" w:customStyle="1" w:styleId="listChar">
    <w:name w:val="list Char"/>
    <w:basedOn w:val="DefaultParagraphFont"/>
    <w:link w:val="List1"/>
    <w:rsid w:val="00286765"/>
    <w:rPr>
      <w:rFonts w:ascii="Arial" w:eastAsia="Times New Roman" w:hAnsi="Arial" w:cs="Arial"/>
      <w:sz w:val="20"/>
      <w:szCs w:val="20"/>
    </w:rPr>
  </w:style>
  <w:style w:type="paragraph" w:styleId="BalloonText">
    <w:name w:val="Balloon Text"/>
    <w:basedOn w:val="Normal"/>
    <w:link w:val="BalloonTextChar"/>
    <w:uiPriority w:val="99"/>
    <w:semiHidden/>
    <w:unhideWhenUsed/>
    <w:rsid w:val="002867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6765"/>
    <w:rPr>
      <w:rFonts w:ascii="Lucida Grande" w:hAnsi="Lucida Grande" w:cs="Lucida Grande"/>
      <w:sz w:val="18"/>
      <w:szCs w:val="18"/>
    </w:rPr>
  </w:style>
  <w:style w:type="character" w:styleId="CommentReference">
    <w:name w:val="annotation reference"/>
    <w:uiPriority w:val="99"/>
    <w:semiHidden/>
    <w:rsid w:val="00B90D08"/>
    <w:rPr>
      <w:sz w:val="16"/>
      <w:szCs w:val="16"/>
    </w:rPr>
  </w:style>
  <w:style w:type="paragraph" w:styleId="CommentText">
    <w:name w:val="annotation text"/>
    <w:basedOn w:val="Normal"/>
    <w:link w:val="CommentTextChar"/>
    <w:uiPriority w:val="99"/>
    <w:unhideWhenUsed/>
    <w:rsid w:val="00B90D08"/>
    <w:pPr>
      <w:spacing w:after="200"/>
    </w:pPr>
    <w:rPr>
      <w:sz w:val="20"/>
      <w:szCs w:val="20"/>
      <w:lang w:eastAsia="zh-CN"/>
    </w:rPr>
  </w:style>
  <w:style w:type="character" w:customStyle="1" w:styleId="CommentTextChar">
    <w:name w:val="Comment Text Char"/>
    <w:basedOn w:val="DefaultParagraphFont"/>
    <w:link w:val="CommentText"/>
    <w:uiPriority w:val="99"/>
    <w:rsid w:val="00B90D08"/>
    <w:rPr>
      <w:sz w:val="20"/>
      <w:szCs w:val="20"/>
      <w:lang w:eastAsia="zh-CN"/>
    </w:rPr>
  </w:style>
  <w:style w:type="paragraph" w:styleId="NormalWeb">
    <w:name w:val="Normal (Web)"/>
    <w:basedOn w:val="Normal"/>
    <w:uiPriority w:val="99"/>
    <w:semiHidden/>
    <w:unhideWhenUsed/>
    <w:rsid w:val="009F7FC4"/>
    <w:pPr>
      <w:spacing w:before="100" w:beforeAutospacing="1" w:after="100" w:afterAutospacing="1"/>
    </w:pPr>
    <w:rPr>
      <w:rFonts w:ascii="Times" w:hAnsi="Times"/>
      <w:sz w:val="20"/>
      <w:szCs w:val="20"/>
    </w:rPr>
  </w:style>
  <w:style w:type="paragraph" w:styleId="ListBullet">
    <w:name w:val="List Bullet"/>
    <w:basedOn w:val="Normal"/>
    <w:link w:val="ListBulletChar"/>
    <w:rsid w:val="009F7FC4"/>
    <w:pPr>
      <w:numPr>
        <w:numId w:val="2"/>
      </w:numPr>
      <w:spacing w:before="115"/>
    </w:pPr>
    <w:rPr>
      <w:sz w:val="22"/>
      <w:szCs w:val="22"/>
    </w:rPr>
  </w:style>
  <w:style w:type="character" w:customStyle="1" w:styleId="ListBulletChar">
    <w:name w:val="List Bullet Char"/>
    <w:basedOn w:val="DefaultParagraphFont"/>
    <w:link w:val="ListBullet"/>
    <w:rsid w:val="009F7FC4"/>
    <w:rPr>
      <w:rFonts w:ascii="Times New Roman" w:eastAsia="Times New Roman" w:hAnsi="Times New Roman" w:cs="Times New Roman"/>
      <w:sz w:val="22"/>
      <w:szCs w:val="22"/>
    </w:rPr>
  </w:style>
  <w:style w:type="paragraph" w:styleId="BodyText">
    <w:name w:val="Body Text"/>
    <w:basedOn w:val="Normal"/>
    <w:link w:val="BodyTextChar"/>
    <w:uiPriority w:val="99"/>
    <w:rsid w:val="0045642A"/>
    <w:rPr>
      <w:sz w:val="22"/>
    </w:rPr>
  </w:style>
  <w:style w:type="character" w:customStyle="1" w:styleId="BodyTextChar">
    <w:name w:val="Body Text Char"/>
    <w:basedOn w:val="DefaultParagraphFont"/>
    <w:link w:val="BodyText"/>
    <w:uiPriority w:val="1"/>
    <w:rsid w:val="0045642A"/>
    <w:rPr>
      <w:rFonts w:ascii="Times New Roman" w:eastAsia="Times New Roman" w:hAnsi="Times New Roman" w:cs="Times New Roman"/>
      <w:sz w:val="22"/>
    </w:rPr>
  </w:style>
  <w:style w:type="paragraph" w:customStyle="1" w:styleId="TableBullet">
    <w:name w:val="Table Bullet"/>
    <w:basedOn w:val="Normal"/>
    <w:link w:val="TableBulletChar"/>
    <w:rsid w:val="00734B86"/>
    <w:pPr>
      <w:numPr>
        <w:numId w:val="3"/>
      </w:numPr>
      <w:tabs>
        <w:tab w:val="left" w:pos="270"/>
      </w:tabs>
      <w:spacing w:before="60" w:after="60"/>
    </w:pPr>
    <w:rPr>
      <w:rFonts w:ascii="Arial" w:hAnsi="Arial"/>
      <w:sz w:val="20"/>
      <w:szCs w:val="20"/>
    </w:rPr>
  </w:style>
  <w:style w:type="paragraph" w:customStyle="1" w:styleId="TableBody">
    <w:name w:val="Table Body"/>
    <w:rsid w:val="00734B86"/>
    <w:pPr>
      <w:spacing w:before="100" w:after="100"/>
    </w:pPr>
    <w:rPr>
      <w:rFonts w:ascii="Arial" w:eastAsia="Times New Roman" w:hAnsi="Arial" w:cs="Times New Roman"/>
      <w:sz w:val="20"/>
      <w:szCs w:val="20"/>
    </w:rPr>
  </w:style>
  <w:style w:type="paragraph" w:customStyle="1" w:styleId="TableHeadingBlack">
    <w:name w:val="Table Heading Black"/>
    <w:rsid w:val="00734B86"/>
    <w:pPr>
      <w:spacing w:after="120"/>
    </w:pPr>
    <w:rPr>
      <w:rFonts w:ascii="Arial Bold" w:eastAsia="Times New Roman" w:hAnsi="Arial Bold" w:cs="Times New Roman"/>
      <w:b/>
      <w:sz w:val="20"/>
      <w:szCs w:val="20"/>
    </w:rPr>
  </w:style>
  <w:style w:type="paragraph" w:customStyle="1" w:styleId="TableBullet2">
    <w:name w:val="Table Bullet 2"/>
    <w:rsid w:val="00734B86"/>
    <w:pPr>
      <w:numPr>
        <w:ilvl w:val="1"/>
        <w:numId w:val="4"/>
      </w:numPr>
      <w:tabs>
        <w:tab w:val="left" w:pos="720"/>
        <w:tab w:val="clear" w:pos="1080"/>
      </w:tabs>
      <w:spacing w:before="10" w:after="10"/>
    </w:pPr>
    <w:rPr>
      <w:rFonts w:ascii="Arial" w:eastAsia="Times New Roman" w:hAnsi="Arial" w:cs="Times New Roman"/>
      <w:sz w:val="20"/>
      <w:szCs w:val="20"/>
    </w:rPr>
  </w:style>
  <w:style w:type="character" w:customStyle="1" w:styleId="TableBulletChar">
    <w:name w:val="Table Bullet Char"/>
    <w:basedOn w:val="DefaultParagraphFont"/>
    <w:link w:val="TableBullet"/>
    <w:rsid w:val="00734B86"/>
    <w:rPr>
      <w:rFonts w:ascii="Arial" w:eastAsia="Times New Roman" w:hAnsi="Arial" w:cs="Times New Roman"/>
      <w:sz w:val="20"/>
      <w:szCs w:val="20"/>
    </w:rPr>
  </w:style>
  <w:style w:type="paragraph" w:styleId="Header">
    <w:name w:val="header"/>
    <w:basedOn w:val="Normal"/>
    <w:link w:val="HeaderChar"/>
    <w:uiPriority w:val="99"/>
    <w:unhideWhenUsed/>
    <w:rsid w:val="00F95615"/>
    <w:pPr>
      <w:tabs>
        <w:tab w:val="center" w:pos="4680"/>
        <w:tab w:val="right" w:pos="9360"/>
      </w:tabs>
    </w:pPr>
  </w:style>
  <w:style w:type="character" w:customStyle="1" w:styleId="HeaderChar">
    <w:name w:val="Header Char"/>
    <w:basedOn w:val="DefaultParagraphFont"/>
    <w:link w:val="Header"/>
    <w:uiPriority w:val="99"/>
    <w:rsid w:val="00F95615"/>
  </w:style>
  <w:style w:type="paragraph" w:styleId="Footer">
    <w:name w:val="footer"/>
    <w:basedOn w:val="Normal"/>
    <w:link w:val="FooterChar"/>
    <w:uiPriority w:val="99"/>
    <w:unhideWhenUsed/>
    <w:rsid w:val="00F95615"/>
    <w:pPr>
      <w:tabs>
        <w:tab w:val="center" w:pos="4680"/>
        <w:tab w:val="right" w:pos="9360"/>
      </w:tabs>
    </w:pPr>
  </w:style>
  <w:style w:type="character" w:customStyle="1" w:styleId="FooterChar">
    <w:name w:val="Footer Char"/>
    <w:basedOn w:val="DefaultParagraphFont"/>
    <w:link w:val="Footer"/>
    <w:uiPriority w:val="99"/>
    <w:rsid w:val="00F95615"/>
  </w:style>
  <w:style w:type="paragraph" w:styleId="CommentSubject">
    <w:name w:val="annotation subject"/>
    <w:basedOn w:val="CommentText"/>
    <w:next w:val="CommentText"/>
    <w:link w:val="CommentSubjectChar"/>
    <w:uiPriority w:val="99"/>
    <w:semiHidden/>
    <w:unhideWhenUsed/>
    <w:rsid w:val="00646015"/>
    <w:pPr>
      <w:spacing w:after="0"/>
    </w:pPr>
    <w:rPr>
      <w:b/>
      <w:bCs/>
      <w:lang w:eastAsia="en-US"/>
    </w:rPr>
  </w:style>
  <w:style w:type="character" w:customStyle="1" w:styleId="CommentSubjectChar">
    <w:name w:val="Comment Subject Char"/>
    <w:basedOn w:val="CommentTextChar"/>
    <w:link w:val="CommentSubject"/>
    <w:uiPriority w:val="99"/>
    <w:semiHidden/>
    <w:rsid w:val="00646015"/>
    <w:rPr>
      <w:b/>
      <w:bCs/>
      <w:sz w:val="20"/>
      <w:szCs w:val="20"/>
      <w:lang w:eastAsia="zh-CN"/>
    </w:rPr>
  </w:style>
  <w:style w:type="paragraph" w:styleId="BodyTextIndent2">
    <w:name w:val="Body Text Indent 2"/>
    <w:basedOn w:val="Normal"/>
    <w:link w:val="BodyTextIndent2Char"/>
    <w:uiPriority w:val="99"/>
    <w:semiHidden/>
    <w:unhideWhenUsed/>
    <w:rsid w:val="00D2432E"/>
    <w:pPr>
      <w:spacing w:after="120" w:line="480" w:lineRule="auto"/>
      <w:ind w:left="360"/>
    </w:pPr>
  </w:style>
  <w:style w:type="character" w:customStyle="1" w:styleId="BodyTextIndent2Char">
    <w:name w:val="Body Text Indent 2 Char"/>
    <w:basedOn w:val="DefaultParagraphFont"/>
    <w:link w:val="BodyTextIndent2"/>
    <w:uiPriority w:val="99"/>
    <w:semiHidden/>
    <w:rsid w:val="00D2432E"/>
  </w:style>
  <w:style w:type="character" w:styleId="Hyperlink">
    <w:name w:val="Hyperlink"/>
    <w:uiPriority w:val="99"/>
    <w:rsid w:val="00E25BE2"/>
    <w:rPr>
      <w:color w:val="0000FF"/>
      <w:u w:val="single"/>
    </w:rPr>
  </w:style>
  <w:style w:type="paragraph" w:styleId="TOCHeading">
    <w:name w:val="TOC Heading"/>
    <w:basedOn w:val="Heading1"/>
    <w:next w:val="Normal"/>
    <w:uiPriority w:val="39"/>
    <w:unhideWhenUsed/>
    <w:qFormat/>
    <w:rsid w:val="00455ADA"/>
    <w:pPr>
      <w:numPr>
        <w:numId w:val="0"/>
      </w:num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B34602"/>
    <w:pPr>
      <w:tabs>
        <w:tab w:val="left" w:pos="450"/>
        <w:tab w:val="right" w:leader="dot" w:pos="10358"/>
      </w:tabs>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05274B"/>
    <w:pPr>
      <w:ind w:left="240"/>
    </w:pPr>
    <w:rPr>
      <w:rFonts w:asciiTheme="minorHAnsi" w:hAnsiTheme="minorHAnsi"/>
      <w:smallCaps/>
      <w:sz w:val="20"/>
      <w:szCs w:val="20"/>
    </w:rPr>
  </w:style>
  <w:style w:type="paragraph" w:styleId="TOC3">
    <w:name w:val="toc 3"/>
    <w:basedOn w:val="Normal"/>
    <w:next w:val="Normal"/>
    <w:autoRedefine/>
    <w:uiPriority w:val="39"/>
    <w:unhideWhenUsed/>
    <w:rsid w:val="00455ADA"/>
    <w:pPr>
      <w:ind w:left="480"/>
    </w:pPr>
    <w:rPr>
      <w:rFonts w:asciiTheme="minorHAnsi" w:hAnsiTheme="minorHAnsi"/>
      <w:i/>
      <w:iCs/>
      <w:sz w:val="20"/>
      <w:szCs w:val="20"/>
    </w:rPr>
  </w:style>
  <w:style w:type="paragraph" w:styleId="TOC4">
    <w:name w:val="toc 4"/>
    <w:basedOn w:val="Normal"/>
    <w:next w:val="Normal"/>
    <w:autoRedefine/>
    <w:uiPriority w:val="39"/>
    <w:unhideWhenUsed/>
    <w:rsid w:val="00455ADA"/>
    <w:pPr>
      <w:ind w:left="720"/>
    </w:pPr>
    <w:rPr>
      <w:rFonts w:asciiTheme="minorHAnsi" w:hAnsiTheme="minorHAnsi"/>
      <w:sz w:val="18"/>
      <w:szCs w:val="18"/>
    </w:rPr>
  </w:style>
  <w:style w:type="paragraph" w:styleId="TOC5">
    <w:name w:val="toc 5"/>
    <w:basedOn w:val="Normal"/>
    <w:next w:val="Normal"/>
    <w:autoRedefine/>
    <w:uiPriority w:val="39"/>
    <w:unhideWhenUsed/>
    <w:rsid w:val="00455ADA"/>
    <w:pPr>
      <w:ind w:left="960"/>
    </w:pPr>
    <w:rPr>
      <w:rFonts w:asciiTheme="minorHAnsi" w:hAnsiTheme="minorHAnsi"/>
      <w:sz w:val="18"/>
      <w:szCs w:val="18"/>
    </w:rPr>
  </w:style>
  <w:style w:type="paragraph" w:styleId="TOC6">
    <w:name w:val="toc 6"/>
    <w:basedOn w:val="Normal"/>
    <w:next w:val="Normal"/>
    <w:autoRedefine/>
    <w:uiPriority w:val="39"/>
    <w:unhideWhenUsed/>
    <w:rsid w:val="00455ADA"/>
    <w:pPr>
      <w:ind w:left="1200"/>
    </w:pPr>
    <w:rPr>
      <w:rFonts w:asciiTheme="minorHAnsi" w:hAnsiTheme="minorHAnsi"/>
      <w:sz w:val="18"/>
      <w:szCs w:val="18"/>
    </w:rPr>
  </w:style>
  <w:style w:type="paragraph" w:styleId="TOC7">
    <w:name w:val="toc 7"/>
    <w:basedOn w:val="Normal"/>
    <w:next w:val="Normal"/>
    <w:autoRedefine/>
    <w:uiPriority w:val="39"/>
    <w:unhideWhenUsed/>
    <w:rsid w:val="00455ADA"/>
    <w:pPr>
      <w:ind w:left="1440"/>
    </w:pPr>
    <w:rPr>
      <w:rFonts w:asciiTheme="minorHAnsi" w:hAnsiTheme="minorHAnsi"/>
      <w:sz w:val="18"/>
      <w:szCs w:val="18"/>
    </w:rPr>
  </w:style>
  <w:style w:type="paragraph" w:styleId="TOC8">
    <w:name w:val="toc 8"/>
    <w:basedOn w:val="Normal"/>
    <w:next w:val="Normal"/>
    <w:autoRedefine/>
    <w:uiPriority w:val="39"/>
    <w:unhideWhenUsed/>
    <w:rsid w:val="00455ADA"/>
    <w:pPr>
      <w:ind w:left="1680"/>
    </w:pPr>
    <w:rPr>
      <w:rFonts w:asciiTheme="minorHAnsi" w:hAnsiTheme="minorHAnsi"/>
      <w:sz w:val="18"/>
      <w:szCs w:val="18"/>
    </w:rPr>
  </w:style>
  <w:style w:type="paragraph" w:styleId="TOC9">
    <w:name w:val="toc 9"/>
    <w:basedOn w:val="Normal"/>
    <w:next w:val="Normal"/>
    <w:autoRedefine/>
    <w:uiPriority w:val="39"/>
    <w:unhideWhenUsed/>
    <w:rsid w:val="00455ADA"/>
    <w:pPr>
      <w:ind w:left="1920"/>
    </w:pPr>
    <w:rPr>
      <w:rFonts w:asciiTheme="minorHAnsi" w:hAnsiTheme="minorHAnsi"/>
      <w:sz w:val="18"/>
      <w:szCs w:val="18"/>
    </w:rPr>
  </w:style>
  <w:style w:type="paragraph" w:styleId="Revision">
    <w:name w:val="Revision"/>
    <w:hidden/>
    <w:uiPriority w:val="99"/>
    <w:semiHidden/>
    <w:rsid w:val="00524F72"/>
  </w:style>
  <w:style w:type="character" w:styleId="FollowedHyperlink">
    <w:name w:val="FollowedHyperlink"/>
    <w:basedOn w:val="DefaultParagraphFont"/>
    <w:uiPriority w:val="99"/>
    <w:semiHidden/>
    <w:unhideWhenUsed/>
    <w:rsid w:val="006C578A"/>
    <w:rPr>
      <w:color w:val="800080" w:themeColor="followedHyperlink"/>
      <w:u w:val="single"/>
    </w:rPr>
  </w:style>
  <w:style w:type="character" w:customStyle="1" w:styleId="UnresolvedMention">
    <w:name w:val="Unresolved Mention"/>
    <w:basedOn w:val="DefaultParagraphFont"/>
    <w:uiPriority w:val="99"/>
    <w:semiHidden/>
    <w:unhideWhenUsed/>
    <w:rsid w:val="00F53E2A"/>
    <w:rPr>
      <w:color w:val="605E5C"/>
      <w:shd w:val="clear" w:color="auto" w:fill="E1DFDD"/>
    </w:rPr>
  </w:style>
  <w:style w:type="table" w:customStyle="1" w:styleId="TableGrid1">
    <w:name w:val="Table Grid1"/>
    <w:basedOn w:val="TableNormal"/>
    <w:next w:val="TableGrid"/>
    <w:uiPriority w:val="59"/>
    <w:rsid w:val="001542E6"/>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581D"/>
    <w:rPr>
      <w:rFonts w:ascii="Calibri" w:hAnsi="Calibri" w:eastAsiaTheme="minorHAnsi"/>
      <w:sz w:val="22"/>
      <w:szCs w:val="22"/>
    </w:rPr>
  </w:style>
  <w:style w:type="character" w:styleId="Strong">
    <w:name w:val="Strong"/>
    <w:basedOn w:val="DefaultParagraphFont"/>
    <w:uiPriority w:val="22"/>
    <w:qFormat/>
    <w:rsid w:val="00EA4CA7"/>
    <w:rPr>
      <w:b/>
      <w:bCs/>
    </w:rPr>
  </w:style>
  <w:style w:type="paragraph" w:customStyle="1" w:styleId="paragraph">
    <w:name w:val="paragraph"/>
    <w:basedOn w:val="Normal"/>
    <w:rsid w:val="004002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brinksco.sharepoint.com/sites/GlobalTravelExpense" TargetMode="External" /><Relationship Id="rId11" Type="http://schemas.openxmlformats.org/officeDocument/2006/relationships/hyperlink" Target="mailto:EVaretto@brinks.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5e8845-a69c-4e9c-a143-50df7cacd838" xsi:nil="true"/>
    <lcf76f155ced4ddcb4097134ff3c332f xmlns="ff04336e-09fa-4e91-9b18-d87f1468d0f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8C53BB93249747A3E9C8CCBF05B163" ma:contentTypeVersion="14" ma:contentTypeDescription="Create a new document." ma:contentTypeScope="" ma:versionID="e1472f0672e8ce38f6b6ba35dc85d86c">
  <xsd:schema xmlns:xsd="http://www.w3.org/2001/XMLSchema" xmlns:xs="http://www.w3.org/2001/XMLSchema" xmlns:p="http://schemas.microsoft.com/office/2006/metadata/properties" xmlns:ns2="ff04336e-09fa-4e91-9b18-d87f1468d0f2" xmlns:ns3="c05e8845-a69c-4e9c-a143-50df7cacd838" targetNamespace="http://schemas.microsoft.com/office/2006/metadata/properties" ma:root="true" ma:fieldsID="9edb596f744f16fc164f65dd555f823e" ns2:_="" ns3:_="">
    <xsd:import namespace="ff04336e-09fa-4e91-9b18-d87f1468d0f2"/>
    <xsd:import namespace="c05e8845-a69c-4e9c-a143-50df7cacd8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4336e-09fa-4e91-9b18-d87f1468d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a5357e-f7a7-49f5-8087-f8948ec628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5e8845-a69c-4e9c-a143-50df7cacd8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c4d159-83e8-439c-916c-12497e235367}" ma:internalName="TaxCatchAll" ma:showField="CatchAllData" ma:web="c05e8845-a69c-4e9c-a143-50df7cacd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B0728-0D61-4FA9-8F2B-8DAD8911493E}">
  <ds:schemaRefs>
    <ds:schemaRef ds:uri="http://schemas.microsoft.com/sharepoint/v3/contenttype/forms"/>
  </ds:schemaRefs>
</ds:datastoreItem>
</file>

<file path=customXml/itemProps2.xml><?xml version="1.0" encoding="utf-8"?>
<ds:datastoreItem xmlns:ds="http://schemas.openxmlformats.org/officeDocument/2006/customXml" ds:itemID="{51DB8CF9-68FB-404B-B457-DD89243A6985}">
  <ds:schemaRefs>
    <ds:schemaRef ds:uri="http://schemas.microsoft.com/office/2006/metadata/properties"/>
    <ds:schemaRef ds:uri="http://schemas.microsoft.com/office/infopath/2007/PartnerControls"/>
    <ds:schemaRef ds:uri="c05e8845-a69c-4e9c-a143-50df7cacd838"/>
    <ds:schemaRef ds:uri="ff04336e-09fa-4e91-9b18-d87f1468d0f2"/>
  </ds:schemaRefs>
</ds:datastoreItem>
</file>

<file path=customXml/itemProps3.xml><?xml version="1.0" encoding="utf-8"?>
<ds:datastoreItem xmlns:ds="http://schemas.openxmlformats.org/officeDocument/2006/customXml" ds:itemID="{D9B01C61-A312-4D0B-BE06-480B3FA80119}">
  <ds:schemaRefs>
    <ds:schemaRef ds:uri="http://schemas.openxmlformats.org/officeDocument/2006/bibliography"/>
  </ds:schemaRefs>
</ds:datastoreItem>
</file>

<file path=customXml/itemProps4.xml><?xml version="1.0" encoding="utf-8"?>
<ds:datastoreItem xmlns:ds="http://schemas.openxmlformats.org/officeDocument/2006/customXml" ds:itemID="{4ADB602D-9ACF-4F63-A672-8B85813C2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4336e-09fa-4e91-9b18-d87f1468d0f2"/>
    <ds:schemaRef ds:uri="c05e8845-a69c-4e9c-a143-50df7cacd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3632</Words>
  <Characters>20708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PT_Procurement Polcies_Client Global Procurement Policy_1511255896920</vt:lpstr>
    </vt:vector>
  </TitlesOfParts>
  <Company/>
  <LinksUpToDate>false</LinksUpToDate>
  <CharactersWithSpaces>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PT_Procurement Polcies_Client Global Procurement Policy_1511255896920</dc:title>
  <dc:creator>Adarsh</dc:creator>
  <cp:lastModifiedBy>Kaye Faris</cp:lastModifiedBy>
  <cp:revision>2</cp:revision>
  <cp:lastPrinted>2024-11-06T18:51:00Z</cp:lastPrinted>
  <dcterms:created xsi:type="dcterms:W3CDTF">2025-01-03T20:49:00Z</dcterms:created>
  <dcterms:modified xsi:type="dcterms:W3CDTF">2025-01-03T20:49:00Z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0x0101000A8C53BB93249747A3E9C8CCBF05B163</vt:lpwstr>
  </property>
  <property fmtid="{D5CDD505-2E9C-101B-9397-08002B2CF9AE}" pid="3" name="GEPCategory">
    <vt:lpwstr>44;#Not Applicable|f6a66797-3b3b-4ccb-a6d7-048d7cdaa434</vt:lpwstr>
  </property>
  <property fmtid="{D5CDD505-2E9C-101B-9397-08002B2CF9AE}" pid="4" name="GEPRegion">
    <vt:lpwstr>23;#Global|6c9a5115-e493-4cd2-b284-271a59e8a144</vt:lpwstr>
  </property>
  <property fmtid="{D5CDD505-2E9C-101B-9397-08002B2CF9AE}" pid="5" name="MediaServiceImageTags">
    <vt:lpwstr/>
  </property>
  <property fmtid="{D5CDD505-2E9C-101B-9397-08002B2CF9AE}" pid="6" name="_dlc_DocIdItemGuid">
    <vt:lpwstr>39856bae-06e0-43e0-ab7e-554c9e6d5138</vt:lpwstr>
  </property>
</Properties>
</file>